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2F" w:rsidRDefault="00886109" w:rsidP="005D0DE2">
      <w:pPr>
        <w:spacing w:after="0" w:line="283" w:lineRule="auto"/>
        <w:ind w:firstLine="708"/>
        <w:jc w:val="center"/>
        <w:rPr>
          <w:rFonts w:ascii="Times New Roman" w:eastAsiaTheme="majorEastAsia"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343C2F" w:rsidRPr="00343C2F">
        <w:rPr>
          <w:rFonts w:ascii="Times New Roman" w:eastAsiaTheme="majorEastAsia" w:hAnsi="Times New Roman" w:cs="Times New Roman"/>
          <w:b/>
          <w:sz w:val="20"/>
          <w:szCs w:val="20"/>
        </w:rPr>
        <w:t>«Проверка законности и результативности использования средств местного бюджета, выделенных на обеспечение финансово-хозяйственной деятельности  МКУ «Управление по обеспечению деятельности администрации Печенгского муниципального округа» в 2022 году</w:t>
      </w:r>
      <w:r w:rsidR="005D0DE2">
        <w:rPr>
          <w:rFonts w:ascii="Times New Roman" w:eastAsiaTheme="majorEastAsia" w:hAnsi="Times New Roman" w:cs="Times New Roman"/>
          <w:b/>
          <w:sz w:val="20"/>
          <w:szCs w:val="20"/>
        </w:rPr>
        <w:t xml:space="preserve"> </w:t>
      </w:r>
      <w:r w:rsidR="00343C2F" w:rsidRPr="00343C2F">
        <w:rPr>
          <w:rFonts w:ascii="Times New Roman" w:eastAsiaTheme="majorEastAsia" w:hAnsi="Times New Roman" w:cs="Times New Roman"/>
          <w:b/>
          <w:sz w:val="20"/>
          <w:szCs w:val="20"/>
        </w:rPr>
        <w:t>(с использованием аудита в сфере закупок)».</w:t>
      </w:r>
    </w:p>
    <w:p w:rsidR="00343C2F"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Объект контрольного мероприятия: </w:t>
      </w:r>
      <w:r w:rsidR="00343C2F" w:rsidRPr="00343C2F">
        <w:rPr>
          <w:rFonts w:ascii="Times New Roman" w:hAnsi="Times New Roman" w:cs="Times New Roman"/>
          <w:sz w:val="20"/>
          <w:szCs w:val="20"/>
        </w:rPr>
        <w:t>МКУ «Управление по обеспечению деятельности администрации Печенгского муниципального округа»</w:t>
      </w:r>
      <w:r w:rsidR="00343C2F" w:rsidRPr="00343C2F">
        <w:t xml:space="preserve"> </w:t>
      </w:r>
      <w:r w:rsidR="00343C2F" w:rsidRPr="00343C2F">
        <w:rPr>
          <w:rFonts w:ascii="Times New Roman" w:hAnsi="Times New Roman" w:cs="Times New Roman"/>
          <w:sz w:val="20"/>
          <w:szCs w:val="20"/>
        </w:rPr>
        <w:t>(далее</w:t>
      </w:r>
      <w:r w:rsidR="00343C2F">
        <w:t xml:space="preserve"> - </w:t>
      </w:r>
      <w:r w:rsidR="00343C2F" w:rsidRPr="00343C2F">
        <w:rPr>
          <w:rFonts w:ascii="Times New Roman" w:hAnsi="Times New Roman" w:cs="Times New Roman"/>
          <w:sz w:val="20"/>
          <w:szCs w:val="20"/>
        </w:rPr>
        <w:t>МКУ «Управление по обеспечению деятельности»</w:t>
      </w:r>
      <w:r w:rsidR="00343C2F">
        <w:rPr>
          <w:rFonts w:ascii="Times New Roman" w:hAnsi="Times New Roman" w:cs="Times New Roman"/>
          <w:sz w:val="20"/>
          <w:szCs w:val="20"/>
        </w:rPr>
        <w:t>, Учреждение).</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343C2F">
        <w:rPr>
          <w:rFonts w:ascii="Times New Roman" w:hAnsi="Times New Roman" w:cs="Times New Roman"/>
          <w:sz w:val="20"/>
          <w:szCs w:val="20"/>
        </w:rPr>
        <w:t>2</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343C2F" w:rsidRPr="0012550E" w:rsidRDefault="00343C2F" w:rsidP="00343C2F">
      <w:pPr>
        <w:spacing w:after="0" w:line="283" w:lineRule="auto"/>
        <w:ind w:firstLine="709"/>
        <w:jc w:val="both"/>
        <w:rPr>
          <w:rFonts w:ascii="Times New Roman" w:hAnsi="Times New Roman" w:cs="Times New Roman"/>
          <w:sz w:val="20"/>
          <w:szCs w:val="20"/>
        </w:rPr>
      </w:pPr>
      <w:r w:rsidRPr="0012550E">
        <w:rPr>
          <w:rFonts w:ascii="Times New Roman" w:hAnsi="Times New Roman" w:cs="Times New Roman"/>
          <w:sz w:val="20"/>
          <w:szCs w:val="20"/>
        </w:rPr>
        <w:t>1.</w:t>
      </w:r>
      <w:r w:rsidRPr="0012550E">
        <w:rPr>
          <w:rFonts w:ascii="Times New Roman" w:hAnsi="Times New Roman" w:cs="Times New Roman"/>
          <w:sz w:val="20"/>
          <w:szCs w:val="20"/>
        </w:rPr>
        <w:tab/>
        <w:t>Утвержденные бюджетные назначения в размере 79 985,3 тыс. рублей исполнены на 96,5% или на сумму 77 160,2 тыс. рублей.</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12550E">
        <w:rPr>
          <w:rFonts w:ascii="Times New Roman" w:hAnsi="Times New Roman" w:cs="Times New Roman"/>
          <w:sz w:val="20"/>
          <w:szCs w:val="20"/>
        </w:rPr>
        <w:t>2.</w:t>
      </w:r>
      <w:r w:rsidRPr="0012550E">
        <w:rPr>
          <w:rFonts w:ascii="Times New Roman" w:hAnsi="Times New Roman" w:cs="Times New Roman"/>
          <w:sz w:val="20"/>
          <w:szCs w:val="20"/>
        </w:rPr>
        <w:tab/>
        <w:t>Изменения в Договор на оказание бухгалтерских услуг от 01.07.2016г. в наименования: исполнителя МКУ «ЦБ»</w:t>
      </w:r>
      <w:r w:rsidR="0012550E">
        <w:rPr>
          <w:rFonts w:ascii="Times New Roman" w:hAnsi="Times New Roman" w:cs="Times New Roman"/>
          <w:sz w:val="20"/>
          <w:szCs w:val="20"/>
        </w:rPr>
        <w:t>,</w:t>
      </w:r>
      <w:r w:rsidRPr="0012550E">
        <w:rPr>
          <w:rFonts w:ascii="Times New Roman" w:hAnsi="Times New Roman" w:cs="Times New Roman"/>
          <w:sz w:val="20"/>
          <w:szCs w:val="20"/>
        </w:rPr>
        <w:t xml:space="preserve"> Учреждения не внесены.</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6518A0">
        <w:rPr>
          <w:rFonts w:ascii="Times New Roman" w:hAnsi="Times New Roman" w:cs="Times New Roman"/>
          <w:sz w:val="20"/>
          <w:szCs w:val="20"/>
        </w:rPr>
        <w:t>3.</w:t>
      </w:r>
      <w:r w:rsidRPr="006518A0">
        <w:rPr>
          <w:rFonts w:ascii="Times New Roman" w:hAnsi="Times New Roman" w:cs="Times New Roman"/>
          <w:sz w:val="20"/>
          <w:szCs w:val="20"/>
        </w:rPr>
        <w:tab/>
        <w:t>В нарушение Порядка № 86н, изменения показателей бюджетной сметы на 2022 финансовый год и плановый период 2023 и 2024 годов на 01.04.2022г., на 11.05.2022г., на 01.10.2022г., на 31.10.2022г. размещены на официальном сайте bus.gov.ru позднее пяти рабочих дней, следующих за днем внесения изменений в документы.</w:t>
      </w:r>
    </w:p>
    <w:p w:rsidR="00343C2F" w:rsidRPr="006518A0" w:rsidRDefault="00343C2F" w:rsidP="00343C2F">
      <w:pPr>
        <w:spacing w:after="0" w:line="283" w:lineRule="auto"/>
        <w:ind w:firstLine="709"/>
        <w:jc w:val="both"/>
        <w:rPr>
          <w:rFonts w:ascii="Times New Roman" w:hAnsi="Times New Roman" w:cs="Times New Roman"/>
          <w:sz w:val="20"/>
          <w:szCs w:val="20"/>
        </w:rPr>
      </w:pPr>
      <w:r w:rsidRPr="00343C2F">
        <w:rPr>
          <w:rFonts w:ascii="Times New Roman" w:hAnsi="Times New Roman" w:cs="Times New Roman"/>
          <w:sz w:val="20"/>
          <w:szCs w:val="20"/>
        </w:rPr>
        <w:t>4.</w:t>
      </w:r>
      <w:r w:rsidRPr="00343C2F">
        <w:rPr>
          <w:rFonts w:ascii="Times New Roman" w:hAnsi="Times New Roman" w:cs="Times New Roman"/>
          <w:sz w:val="20"/>
          <w:szCs w:val="20"/>
        </w:rPr>
        <w:tab/>
      </w:r>
      <w:r w:rsidR="005F046C" w:rsidRPr="006518A0">
        <w:rPr>
          <w:rFonts w:ascii="Times New Roman" w:hAnsi="Times New Roman" w:cs="Times New Roman"/>
          <w:sz w:val="20"/>
          <w:szCs w:val="20"/>
        </w:rPr>
        <w:t>У</w:t>
      </w:r>
      <w:r w:rsidRPr="006518A0">
        <w:rPr>
          <w:rFonts w:ascii="Times New Roman" w:hAnsi="Times New Roman" w:cs="Times New Roman"/>
          <w:sz w:val="20"/>
          <w:szCs w:val="20"/>
        </w:rPr>
        <w:t>становлено, что Учреждением не всегда вносились изменения в План – график. Стоимость по закупкам в Плане-графике на 2022 год не соответствует реестру договоров за 2022 год  и отражена в меньшем объеме финансирования. Согласно Планам – графиков на 2021г и на 2022г. запланировано и осуществлено закупок на</w:t>
      </w:r>
      <w:r w:rsidR="005D0DE2">
        <w:rPr>
          <w:rFonts w:ascii="Times New Roman" w:hAnsi="Times New Roman" w:cs="Times New Roman"/>
          <w:sz w:val="20"/>
          <w:szCs w:val="20"/>
        </w:rPr>
        <w:t xml:space="preserve"> </w:t>
      </w:r>
      <w:r w:rsidRPr="006518A0">
        <w:rPr>
          <w:rFonts w:ascii="Times New Roman" w:hAnsi="Times New Roman" w:cs="Times New Roman"/>
          <w:sz w:val="20"/>
          <w:szCs w:val="20"/>
        </w:rPr>
        <w:t xml:space="preserve">28 832,6 тыс. рублей, по реестру договоров за 2022 год стоимость исполненных бюджетных назначений составила 30 925,1 тыс. рублей. Отклонение составляет 2 092,5 тыс. рублей </w:t>
      </w:r>
    </w:p>
    <w:p w:rsidR="00343C2F" w:rsidRPr="006518A0" w:rsidRDefault="00EA709E" w:rsidP="00343C2F">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5. В</w:t>
      </w:r>
      <w:r w:rsidR="00343C2F" w:rsidRPr="006518A0">
        <w:rPr>
          <w:rFonts w:ascii="Times New Roman" w:hAnsi="Times New Roman" w:cs="Times New Roman"/>
          <w:sz w:val="20"/>
          <w:szCs w:val="20"/>
        </w:rPr>
        <w:t xml:space="preserve"> нарушение пункта 4 части 1 статьи 93 Закона о контрактной системе</w:t>
      </w:r>
      <w:r>
        <w:rPr>
          <w:rFonts w:ascii="Times New Roman" w:hAnsi="Times New Roman" w:cs="Times New Roman"/>
          <w:sz w:val="20"/>
          <w:szCs w:val="20"/>
        </w:rPr>
        <w:t xml:space="preserve">  г</w:t>
      </w:r>
      <w:r w:rsidRPr="00EA709E">
        <w:rPr>
          <w:rFonts w:ascii="Times New Roman" w:hAnsi="Times New Roman" w:cs="Times New Roman"/>
          <w:sz w:val="20"/>
          <w:szCs w:val="20"/>
        </w:rPr>
        <w:t>одовой объем закупок составляет 4 417,0 тыс. рублей, то есть</w:t>
      </w:r>
      <w:r w:rsidR="00343C2F" w:rsidRPr="006518A0">
        <w:rPr>
          <w:rFonts w:ascii="Times New Roman" w:hAnsi="Times New Roman" w:cs="Times New Roman"/>
          <w:sz w:val="20"/>
          <w:szCs w:val="20"/>
        </w:rPr>
        <w:t xml:space="preserve"> превышает, установленным вышеук</w:t>
      </w:r>
      <w:r w:rsidR="00EE6772" w:rsidRPr="006518A0">
        <w:rPr>
          <w:rFonts w:ascii="Times New Roman" w:hAnsi="Times New Roman" w:cs="Times New Roman"/>
          <w:sz w:val="20"/>
          <w:szCs w:val="20"/>
        </w:rPr>
        <w:t>азанной статьей требованиям в</w:t>
      </w:r>
      <w:r w:rsidR="005D0DE2">
        <w:rPr>
          <w:rFonts w:ascii="Times New Roman" w:hAnsi="Times New Roman" w:cs="Times New Roman"/>
          <w:sz w:val="20"/>
          <w:szCs w:val="20"/>
        </w:rPr>
        <w:t xml:space="preserve">  </w:t>
      </w:r>
      <w:r w:rsidR="00EE6772" w:rsidRPr="006518A0">
        <w:rPr>
          <w:rFonts w:ascii="Times New Roman" w:hAnsi="Times New Roman" w:cs="Times New Roman"/>
          <w:sz w:val="20"/>
          <w:szCs w:val="20"/>
        </w:rPr>
        <w:t xml:space="preserve">  </w:t>
      </w:r>
      <w:r w:rsidR="00343C2F" w:rsidRPr="006518A0">
        <w:rPr>
          <w:rFonts w:ascii="Times New Roman" w:hAnsi="Times New Roman" w:cs="Times New Roman"/>
          <w:sz w:val="20"/>
          <w:szCs w:val="20"/>
        </w:rPr>
        <w:t xml:space="preserve">2 млн. рублей, и превышает совокупный годовой объем закупок, который составил  3 294,7 тыс. рублей, на </w:t>
      </w:r>
      <w:r w:rsidR="005D0DE2">
        <w:rPr>
          <w:rFonts w:ascii="Times New Roman" w:hAnsi="Times New Roman" w:cs="Times New Roman"/>
          <w:sz w:val="20"/>
          <w:szCs w:val="20"/>
        </w:rPr>
        <w:t xml:space="preserve">  </w:t>
      </w:r>
      <w:r w:rsidR="00343C2F" w:rsidRPr="006518A0">
        <w:rPr>
          <w:rFonts w:ascii="Times New Roman" w:hAnsi="Times New Roman" w:cs="Times New Roman"/>
          <w:sz w:val="20"/>
          <w:szCs w:val="20"/>
        </w:rPr>
        <w:t>1 122,3 тыс. рублей.</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6518A0">
        <w:rPr>
          <w:rFonts w:ascii="Times New Roman" w:hAnsi="Times New Roman" w:cs="Times New Roman"/>
          <w:sz w:val="20"/>
          <w:szCs w:val="20"/>
        </w:rPr>
        <w:t xml:space="preserve">6. В нарушение пункта 8.6 Единой учетной политики </w:t>
      </w:r>
      <w:r w:rsidR="0012550E" w:rsidRPr="006518A0">
        <w:rPr>
          <w:rFonts w:ascii="Times New Roman" w:hAnsi="Times New Roman" w:cs="Times New Roman"/>
          <w:sz w:val="20"/>
          <w:szCs w:val="20"/>
        </w:rPr>
        <w:t xml:space="preserve">Учреждения </w:t>
      </w:r>
      <w:r w:rsidRPr="006518A0">
        <w:rPr>
          <w:rFonts w:ascii="Times New Roman" w:hAnsi="Times New Roman" w:cs="Times New Roman"/>
          <w:sz w:val="20"/>
          <w:szCs w:val="20"/>
        </w:rPr>
        <w:t>авансовые отчеты по приобретенным материальным ценностям за личные средства сотрудников принимались к учету весь проверяемый период. Под отчет денежные средства сотруднику не выдавались, денежные средства за приобретенные материальные ценности, по заявлению, после сдачи авансового отчета перечислялись сотруднику.</w:t>
      </w:r>
      <w:r w:rsidRPr="00343C2F">
        <w:rPr>
          <w:rFonts w:ascii="Times New Roman" w:hAnsi="Times New Roman" w:cs="Times New Roman"/>
          <w:sz w:val="20"/>
          <w:szCs w:val="20"/>
        </w:rPr>
        <w:t xml:space="preserve"> </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EA709E">
        <w:rPr>
          <w:rFonts w:ascii="Times New Roman" w:hAnsi="Times New Roman" w:cs="Times New Roman"/>
          <w:sz w:val="20"/>
          <w:szCs w:val="20"/>
        </w:rPr>
        <w:t>7. В нарушение пункта 8.2 Единой учетной политики</w:t>
      </w:r>
      <w:r w:rsidR="006518A0" w:rsidRPr="00EA709E">
        <w:rPr>
          <w:rFonts w:ascii="Times New Roman" w:hAnsi="Times New Roman" w:cs="Times New Roman"/>
          <w:sz w:val="20"/>
          <w:szCs w:val="20"/>
        </w:rPr>
        <w:t xml:space="preserve"> Учреждения</w:t>
      </w:r>
      <w:r w:rsidRPr="00EA709E">
        <w:rPr>
          <w:rFonts w:ascii="Times New Roman" w:hAnsi="Times New Roman" w:cs="Times New Roman"/>
          <w:sz w:val="20"/>
          <w:szCs w:val="20"/>
        </w:rPr>
        <w:t>, согласование приобретенных материальных ценностей руководителем учреждения осуществляется после приобретения товара.</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EA709E">
        <w:rPr>
          <w:rFonts w:ascii="Times New Roman" w:hAnsi="Times New Roman" w:cs="Times New Roman"/>
          <w:sz w:val="20"/>
          <w:szCs w:val="20"/>
        </w:rPr>
        <w:t xml:space="preserve">8. </w:t>
      </w:r>
      <w:proofErr w:type="gramStart"/>
      <w:r w:rsidRPr="00EA709E">
        <w:rPr>
          <w:rFonts w:ascii="Times New Roman" w:hAnsi="Times New Roman" w:cs="Times New Roman"/>
          <w:sz w:val="20"/>
          <w:szCs w:val="20"/>
        </w:rPr>
        <w:t>В нарушение требований, установленных Приказом № 52н, выявлены случаи заполнения не всех показателей по авансовым отчетам</w:t>
      </w:r>
      <w:r w:rsidR="00EA709E" w:rsidRPr="00EA709E">
        <w:rPr>
          <w:rFonts w:ascii="Times New Roman" w:hAnsi="Times New Roman" w:cs="Times New Roman"/>
          <w:sz w:val="20"/>
          <w:szCs w:val="20"/>
        </w:rPr>
        <w:t xml:space="preserve"> (</w:t>
      </w:r>
      <w:r w:rsidRPr="00EA709E">
        <w:rPr>
          <w:rFonts w:ascii="Times New Roman" w:hAnsi="Times New Roman" w:cs="Times New Roman"/>
          <w:sz w:val="20"/>
          <w:szCs w:val="20"/>
        </w:rPr>
        <w:t>по сумме полученного подотчетными лицами аванса для приобретения проездных билетов к месту проведения отпуска и обратно; сумме израсходованных подотчетным лицом денежных средств; сумме остатка и перерасхода подотчетных средств; не отражалось количество документов и листов, на которых оформлены оправдательные документы;</w:t>
      </w:r>
      <w:proofErr w:type="gramEnd"/>
      <w:r w:rsidRPr="00EA709E">
        <w:rPr>
          <w:rFonts w:ascii="Times New Roman" w:hAnsi="Times New Roman" w:cs="Times New Roman"/>
          <w:sz w:val="20"/>
          <w:szCs w:val="20"/>
        </w:rPr>
        <w:t xml:space="preserve"> дата авансового отчета значительно позже получения авансового отчета бухгалтером; расписки о том, что бухгалтер принял к проверке авансовый отчет, не отрезались от авансового отчета и не передавались подотчетному лицу; </w:t>
      </w:r>
      <w:proofErr w:type="gramStart"/>
      <w:r w:rsidRPr="00EA709E">
        <w:rPr>
          <w:rFonts w:ascii="Times New Roman" w:hAnsi="Times New Roman" w:cs="Times New Roman"/>
          <w:sz w:val="20"/>
          <w:szCs w:val="20"/>
        </w:rPr>
        <w:t>в</w:t>
      </w:r>
      <w:proofErr w:type="gramEnd"/>
      <w:r w:rsidRPr="00EA709E">
        <w:rPr>
          <w:rFonts w:ascii="Times New Roman" w:hAnsi="Times New Roman" w:cs="Times New Roman"/>
          <w:sz w:val="20"/>
          <w:szCs w:val="20"/>
        </w:rPr>
        <w:t xml:space="preserve"> </w:t>
      </w:r>
      <w:proofErr w:type="gramStart"/>
      <w:r w:rsidRPr="00EA709E">
        <w:rPr>
          <w:rFonts w:ascii="Times New Roman" w:hAnsi="Times New Roman" w:cs="Times New Roman"/>
          <w:sz w:val="20"/>
          <w:szCs w:val="20"/>
        </w:rPr>
        <w:t>большинстве</w:t>
      </w:r>
      <w:proofErr w:type="gramEnd"/>
      <w:r w:rsidRPr="00EA709E">
        <w:rPr>
          <w:rFonts w:ascii="Times New Roman" w:hAnsi="Times New Roman" w:cs="Times New Roman"/>
          <w:sz w:val="20"/>
          <w:szCs w:val="20"/>
        </w:rPr>
        <w:t xml:space="preserve"> случаев регистрация авансовых отчетов отсутствует</w:t>
      </w:r>
      <w:r w:rsidR="00EA709E">
        <w:rPr>
          <w:rFonts w:ascii="Times New Roman" w:hAnsi="Times New Roman" w:cs="Times New Roman"/>
          <w:sz w:val="20"/>
          <w:szCs w:val="20"/>
        </w:rPr>
        <w:t>)</w:t>
      </w:r>
      <w:r w:rsidRPr="00EA709E">
        <w:rPr>
          <w:rFonts w:ascii="Times New Roman" w:hAnsi="Times New Roman" w:cs="Times New Roman"/>
          <w:sz w:val="20"/>
          <w:szCs w:val="20"/>
        </w:rPr>
        <w:t>.</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E30AC3">
        <w:rPr>
          <w:rFonts w:ascii="Times New Roman" w:hAnsi="Times New Roman" w:cs="Times New Roman"/>
          <w:sz w:val="20"/>
          <w:szCs w:val="20"/>
        </w:rPr>
        <w:t xml:space="preserve">9. </w:t>
      </w:r>
      <w:proofErr w:type="gramStart"/>
      <w:r w:rsidRPr="00E30AC3">
        <w:rPr>
          <w:rFonts w:ascii="Times New Roman" w:hAnsi="Times New Roman" w:cs="Times New Roman"/>
          <w:sz w:val="20"/>
          <w:szCs w:val="20"/>
        </w:rPr>
        <w:t>В нарушение раздела 1 Положения о компенсации расходов на оплату стоимости в заявлении работника не указаны фамилия, имя, отчество членов семьи работника, имеющих право на компенсацию расходов проезда к месту использова</w:t>
      </w:r>
      <w:r w:rsidR="005D0DE2">
        <w:rPr>
          <w:rFonts w:ascii="Times New Roman" w:hAnsi="Times New Roman" w:cs="Times New Roman"/>
          <w:sz w:val="20"/>
          <w:szCs w:val="20"/>
        </w:rPr>
        <w:t xml:space="preserve">ния отпуска и обратно, а также </w:t>
      </w:r>
      <w:r w:rsidRPr="00E30AC3">
        <w:rPr>
          <w:rFonts w:ascii="Times New Roman" w:hAnsi="Times New Roman" w:cs="Times New Roman"/>
          <w:sz w:val="20"/>
          <w:szCs w:val="20"/>
        </w:rPr>
        <w:t>неправомерно выплачен аванс на приобретение проездных билетов к месту проведения отдыха работнику и двум несовершеннолетним детям на общую сумму 25,9 тыс. рублей, работник не</w:t>
      </w:r>
      <w:proofErr w:type="gramEnd"/>
      <w:r w:rsidRPr="00E30AC3">
        <w:rPr>
          <w:rFonts w:ascii="Times New Roman" w:hAnsi="Times New Roman" w:cs="Times New Roman"/>
          <w:sz w:val="20"/>
          <w:szCs w:val="20"/>
        </w:rPr>
        <w:t xml:space="preserve"> находился в отпуске, право на льготный проезд отсутствовало.</w:t>
      </w:r>
    </w:p>
    <w:p w:rsidR="00E30AC3" w:rsidRPr="00E30AC3" w:rsidRDefault="00343C2F" w:rsidP="00343C2F">
      <w:pPr>
        <w:spacing w:after="0" w:line="283" w:lineRule="auto"/>
        <w:ind w:firstLine="709"/>
        <w:jc w:val="both"/>
        <w:rPr>
          <w:rFonts w:ascii="Times New Roman" w:hAnsi="Times New Roman" w:cs="Times New Roman"/>
          <w:sz w:val="20"/>
          <w:szCs w:val="20"/>
        </w:rPr>
      </w:pPr>
      <w:r w:rsidRPr="00E30AC3">
        <w:rPr>
          <w:rFonts w:ascii="Times New Roman" w:hAnsi="Times New Roman" w:cs="Times New Roman"/>
          <w:sz w:val="20"/>
          <w:szCs w:val="20"/>
        </w:rPr>
        <w:t xml:space="preserve">10. В нарушение пункта 1.3 Положения о компенсации расходов на оплату стоимости проезда к месту использования отпуска и обратно неправомерно оплачен проезд в размере 37, 8 тыс. рублей. </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E30AC3">
        <w:rPr>
          <w:rFonts w:ascii="Times New Roman" w:hAnsi="Times New Roman" w:cs="Times New Roman"/>
          <w:sz w:val="20"/>
          <w:szCs w:val="20"/>
        </w:rPr>
        <w:t>11. В нарушение постановления Правительства РФ от 13 октября   2008 г. № 749 «Об особенностях направления работников в служебные командировки» и Положения по командировкам работнику выплачены суточные в размере 1,4 тыс. рублей после прибытия из командировки. В приказе (распоряжении) о направлен</w:t>
      </w:r>
      <w:r w:rsidR="00421EB5" w:rsidRPr="00E30AC3">
        <w:rPr>
          <w:rFonts w:ascii="Times New Roman" w:hAnsi="Times New Roman" w:cs="Times New Roman"/>
          <w:sz w:val="20"/>
          <w:szCs w:val="20"/>
        </w:rPr>
        <w:t xml:space="preserve">ии работника в командировку    </w:t>
      </w:r>
      <w:r w:rsidRPr="00E30AC3">
        <w:rPr>
          <w:rFonts w:ascii="Times New Roman" w:hAnsi="Times New Roman" w:cs="Times New Roman"/>
          <w:sz w:val="20"/>
          <w:szCs w:val="20"/>
        </w:rPr>
        <w:t>(форма № Т-9) отсутствует ознакомление работника.</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343C2F">
        <w:rPr>
          <w:rFonts w:ascii="Times New Roman" w:hAnsi="Times New Roman" w:cs="Times New Roman"/>
          <w:sz w:val="20"/>
          <w:szCs w:val="20"/>
        </w:rPr>
        <w:t xml:space="preserve">12. </w:t>
      </w:r>
      <w:r w:rsidR="00E30AC3" w:rsidRPr="00E30AC3">
        <w:rPr>
          <w:rFonts w:ascii="Times New Roman" w:hAnsi="Times New Roman" w:cs="Times New Roman"/>
          <w:sz w:val="20"/>
          <w:szCs w:val="20"/>
        </w:rPr>
        <w:t>У</w:t>
      </w:r>
      <w:r w:rsidRPr="00E30AC3">
        <w:rPr>
          <w:rFonts w:ascii="Times New Roman" w:hAnsi="Times New Roman" w:cs="Times New Roman"/>
          <w:sz w:val="20"/>
          <w:szCs w:val="20"/>
        </w:rPr>
        <w:t xml:space="preserve">становлено завышение количества единиц, установленных в штатном расписании по должности «уборщик служебных помещений 1 разряда» и количества принятых по данной должности на работу. В нарушение Постановления Госкомстата России Учреждением не вносились изменения в штатные </w:t>
      </w:r>
      <w:r w:rsidRPr="00E30AC3">
        <w:rPr>
          <w:rFonts w:ascii="Times New Roman" w:hAnsi="Times New Roman" w:cs="Times New Roman"/>
          <w:sz w:val="20"/>
          <w:szCs w:val="20"/>
        </w:rPr>
        <w:lastRenderedPageBreak/>
        <w:t>расписания при увеличении количества штатных единиц – «уборщиков служебных помещений 1 разряда», что противоречит статье 57 ТК РФ (в трудовом договоре наименование должности, профессии и специальности указывается только в соответствии со штатным расписанием организации). За отсутствие должностей в штатном расписании статьей 5.27 Кодекса Российской Федерации об административных правонарушениях предусмотрена административная ответственность.</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E30AC3">
        <w:rPr>
          <w:rFonts w:ascii="Times New Roman" w:hAnsi="Times New Roman" w:cs="Times New Roman"/>
          <w:sz w:val="20"/>
          <w:szCs w:val="20"/>
        </w:rPr>
        <w:t>13. В нарушение Постановления администрации от 30.09.2021 № 1043 Учреждением в Положение по оплате труда работников не внесены изменения окладов с 01.09.2021г.</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E30AC3">
        <w:rPr>
          <w:rFonts w:ascii="Times New Roman" w:hAnsi="Times New Roman" w:cs="Times New Roman"/>
          <w:sz w:val="20"/>
          <w:szCs w:val="20"/>
        </w:rPr>
        <w:t xml:space="preserve">14. </w:t>
      </w:r>
      <w:proofErr w:type="gramStart"/>
      <w:r w:rsidRPr="00E30AC3">
        <w:rPr>
          <w:rFonts w:ascii="Times New Roman" w:hAnsi="Times New Roman" w:cs="Times New Roman"/>
          <w:sz w:val="20"/>
          <w:szCs w:val="20"/>
        </w:rPr>
        <w:t>В нарушение пункта 16 Положения при расчете среднего заработка Учреждением не проиндексированы выплаты, которые учитываются при определении среднего заработка (отпускные, командировка и т.д.), и которые начислены в расчетном периоде за предшествующие повышению месяцы, на общую сумму 67,0 тыс. рублей, что является нарушением прав работника на индексацию заработной платы и дискриминацией (ч. 1 ст. 2, ч. 2 ст. 3, ч</w:t>
      </w:r>
      <w:proofErr w:type="gramEnd"/>
      <w:r w:rsidRPr="00E30AC3">
        <w:rPr>
          <w:rFonts w:ascii="Times New Roman" w:hAnsi="Times New Roman" w:cs="Times New Roman"/>
          <w:sz w:val="20"/>
          <w:szCs w:val="20"/>
        </w:rPr>
        <w:t xml:space="preserve">. </w:t>
      </w:r>
      <w:proofErr w:type="gramStart"/>
      <w:r w:rsidRPr="00E30AC3">
        <w:rPr>
          <w:rFonts w:ascii="Times New Roman" w:hAnsi="Times New Roman" w:cs="Times New Roman"/>
          <w:sz w:val="20"/>
          <w:szCs w:val="20"/>
        </w:rPr>
        <w:t>2 ст. 132, ст. 134 ТК РФ).</w:t>
      </w:r>
      <w:proofErr w:type="gramEnd"/>
    </w:p>
    <w:p w:rsidR="00343C2F" w:rsidRPr="00343C2F" w:rsidRDefault="00343C2F" w:rsidP="00343C2F">
      <w:pPr>
        <w:spacing w:after="0" w:line="283" w:lineRule="auto"/>
        <w:ind w:firstLine="709"/>
        <w:jc w:val="both"/>
        <w:rPr>
          <w:rFonts w:ascii="Times New Roman" w:hAnsi="Times New Roman" w:cs="Times New Roman"/>
          <w:sz w:val="20"/>
          <w:szCs w:val="20"/>
        </w:rPr>
      </w:pPr>
      <w:r w:rsidRPr="00E30AC3">
        <w:rPr>
          <w:rFonts w:ascii="Times New Roman" w:hAnsi="Times New Roman" w:cs="Times New Roman"/>
          <w:sz w:val="20"/>
          <w:szCs w:val="20"/>
        </w:rPr>
        <w:t>15. Установлено занижение в 2022 году должностного оклада «главного специалиста»</w:t>
      </w:r>
      <w:r w:rsidR="00E30AC3" w:rsidRPr="00E30AC3">
        <w:rPr>
          <w:rFonts w:ascii="Times New Roman" w:hAnsi="Times New Roman" w:cs="Times New Roman"/>
          <w:sz w:val="20"/>
          <w:szCs w:val="20"/>
        </w:rPr>
        <w:t>:</w:t>
      </w:r>
      <w:r w:rsidRPr="00E30AC3">
        <w:rPr>
          <w:rFonts w:ascii="Times New Roman" w:hAnsi="Times New Roman" w:cs="Times New Roman"/>
          <w:sz w:val="20"/>
          <w:szCs w:val="20"/>
        </w:rPr>
        <w:t xml:space="preserve"> оклад с 01.01.2022г. должен составлять в размере 8 003,0 рубля, а не 7 401,0 рубль, занижение должностного оклада на 602,0 рубля или 8,1%; с 01.10.2022 в размере 8 324,0 рубля, а не  7 698,0 рублей, занижение на 626,0 рублей или 8,1%. Занижение должностных окладов работников Учреждения влечет неправомерное занижение выплачиваемой заработной платы. С 01.01.2023г. размер должностного оклада «главного специалиста» приведен в соответствие с квалификационным уровнем и составил 8 324,0 рубля.</w:t>
      </w:r>
      <w:r w:rsidRPr="00343C2F">
        <w:rPr>
          <w:rFonts w:ascii="Times New Roman" w:hAnsi="Times New Roman" w:cs="Times New Roman"/>
          <w:sz w:val="20"/>
          <w:szCs w:val="20"/>
        </w:rPr>
        <w:t xml:space="preserve"> </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F54941">
        <w:rPr>
          <w:rFonts w:ascii="Times New Roman" w:hAnsi="Times New Roman" w:cs="Times New Roman"/>
          <w:sz w:val="20"/>
          <w:szCs w:val="20"/>
        </w:rPr>
        <w:t>16. В нарушение Положения по оплате труда отсутствуют утвержденные критерии, по которым устанавливались персональные повышающие коэффициенты работникам МКУ «Управление по обеспечению деятельности». Размер ППК в Учреждении устанавливался в трудовых договорах на постоянной основе, а не на определенный период. Установлены случаи не установления конкретного персонального повышающего коэффициента в трудовых договорах.</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F54941">
        <w:rPr>
          <w:rFonts w:ascii="Times New Roman" w:hAnsi="Times New Roman" w:cs="Times New Roman"/>
          <w:sz w:val="20"/>
          <w:szCs w:val="20"/>
        </w:rPr>
        <w:t>17. В нарушение Положения по оплате труда работников, статьи 135 ТК РФ отсутствует нормативно – правовой акт Учреждения, определяющий порядок установления стимулирующей надбавки, а также целевые показатели, подтверждающие эффективность, высокие результаты деятельности работников, которым установлена стимулирующая надбавка за сложность, напряженность. Установлены случаи не отражения в трудовых договорах (дополнительных соглашениях) размера стимулирующей надбавки за сложность, напряженность.</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F54941">
        <w:rPr>
          <w:rFonts w:ascii="Times New Roman" w:hAnsi="Times New Roman" w:cs="Times New Roman"/>
          <w:sz w:val="20"/>
          <w:szCs w:val="20"/>
        </w:rPr>
        <w:t>18. В нарушение статьи 135 ТК РФ в Положении по оплате труда МКУ «Управление по обеспечению деятельности администрации» не указаны порядок и условия выполнения дополнительной работы и доплаты за нее, перечень профессий и должностей, по которым допускается ее выполнение, предельные размеры данной доплаты.</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F54941">
        <w:rPr>
          <w:rFonts w:ascii="Times New Roman" w:hAnsi="Times New Roman" w:cs="Times New Roman"/>
          <w:sz w:val="20"/>
          <w:szCs w:val="20"/>
        </w:rPr>
        <w:t>19. Установлено несоответствие размера доплаты за выполнение дополнительной работы по должности начальника отдела информационных технологий: в дополнительном соглашении к трудовому договору доплата установлена в размере 30,0 тыс. рублей с 01.04.2022г. по 30.06.2022г., в приказе Учреждения в размере 35,0 тыс. рублей за тот же самый период.</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F54941">
        <w:rPr>
          <w:rFonts w:ascii="Times New Roman" w:hAnsi="Times New Roman" w:cs="Times New Roman"/>
          <w:sz w:val="20"/>
          <w:szCs w:val="20"/>
        </w:rPr>
        <w:t>20. В нарушении статьи 135 ТК РФ нормативными актами не установлена система премирования за выполнение особо важных или срочных работ. В Учреждении не установлен порядок выплаты премий за особо важные задания. В приказах Учреждения и распоряжениях Главы Печенгского муниципального округа не отражено, за какую особо важную и срочную, оперативную работу выплачивалась премия (какое конкретное особо важное задание выполнено работником). В Положении по оплате труда также отсутствует порядок выплаты премий за особо важные задания (кто назначает задание, в чем заключается особенность важности задания, какие документы применяются при назначении задания и выплате премии и т.д.).  В Положении по оплате труда, действующем в 2022 году, по премиям за особо важные и срочные задания не отражено, что премия начисляется без районного коэффициента и полярных надбавок.</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F54941">
        <w:rPr>
          <w:rFonts w:ascii="Times New Roman" w:hAnsi="Times New Roman" w:cs="Times New Roman"/>
          <w:sz w:val="20"/>
          <w:szCs w:val="20"/>
        </w:rPr>
        <w:t>21. Размеры единовременной премии: в связи с юбилейными датами; в связи с государственными и профессиональными праздниками; увольнением в связи с уходом на заслуженный отдых, не утверждены Положением по оплате труда в 2022 году. Размер материальной помощи в связи с рождением ребенка, со свадьбой, смертью близких родственников и т.д.</w:t>
      </w:r>
      <w:r w:rsidR="00F54941" w:rsidRPr="00F54941">
        <w:rPr>
          <w:rFonts w:ascii="Times New Roman" w:hAnsi="Times New Roman" w:cs="Times New Roman"/>
          <w:sz w:val="20"/>
          <w:szCs w:val="20"/>
        </w:rPr>
        <w:t>-</w:t>
      </w:r>
      <w:r w:rsidRPr="00F54941">
        <w:rPr>
          <w:rFonts w:ascii="Times New Roman" w:hAnsi="Times New Roman" w:cs="Times New Roman"/>
          <w:sz w:val="20"/>
          <w:szCs w:val="20"/>
        </w:rPr>
        <w:t xml:space="preserve"> не установлен Положением по оплате труда в 2022 году. В связи с этим, в 2022 году выплачена материальная помощь в разных размерах: в связи с вступлением в брак 5,15 тыс. рублей, 5,75 тыс. рублей, в связи с рождением ребенка 5,0 тыс. рублей, 5, 75 тыс. рублей. Выплата различного вида материальной помощи и получение каких-либо преимуществ в зависимости от обстоятельств, не связанных с деловыми качествами работника имеет признаки дискриминации в сфере труда (статья 3 Трудового Кодекса РФ).</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F54941">
        <w:rPr>
          <w:rFonts w:ascii="Times New Roman" w:hAnsi="Times New Roman" w:cs="Times New Roman"/>
          <w:sz w:val="20"/>
          <w:szCs w:val="20"/>
        </w:rPr>
        <w:t>22. В нарушение Положения по оплате труда заявления работников на получение материальной помощи (в связи с рождением ребенка, в связи с вступлением в брак, в связи со смертью члена семьи) не согласовывались с Главой муниципального округа.</w:t>
      </w:r>
    </w:p>
    <w:p w:rsidR="00F54941" w:rsidRPr="00F54941" w:rsidRDefault="00343C2F" w:rsidP="00343C2F">
      <w:pPr>
        <w:spacing w:after="0" w:line="283" w:lineRule="auto"/>
        <w:ind w:firstLine="709"/>
        <w:jc w:val="both"/>
        <w:rPr>
          <w:rFonts w:ascii="Times New Roman" w:hAnsi="Times New Roman" w:cs="Times New Roman"/>
          <w:sz w:val="20"/>
          <w:szCs w:val="20"/>
        </w:rPr>
      </w:pPr>
      <w:r w:rsidRPr="00F54941">
        <w:rPr>
          <w:rFonts w:ascii="Times New Roman" w:hAnsi="Times New Roman" w:cs="Times New Roman"/>
          <w:sz w:val="20"/>
          <w:szCs w:val="20"/>
        </w:rPr>
        <w:lastRenderedPageBreak/>
        <w:t xml:space="preserve">23. В нарушении статьи 129 ТК РФ Учреждением неправомерно произведена выплата доплаты до минимального </w:t>
      </w:r>
      <w:proofErr w:type="gramStart"/>
      <w:r w:rsidRPr="00F54941">
        <w:rPr>
          <w:rFonts w:ascii="Times New Roman" w:hAnsi="Times New Roman" w:cs="Times New Roman"/>
          <w:sz w:val="20"/>
          <w:szCs w:val="20"/>
        </w:rPr>
        <w:t>размера оплаты труда</w:t>
      </w:r>
      <w:proofErr w:type="gramEnd"/>
      <w:r w:rsidRPr="00F54941">
        <w:rPr>
          <w:rFonts w:ascii="Times New Roman" w:hAnsi="Times New Roman" w:cs="Times New Roman"/>
          <w:sz w:val="20"/>
          <w:szCs w:val="20"/>
        </w:rPr>
        <w:t>, без учета квартальных и премий за выполнение особо важных и сложных работ премий в размере 145,0 тыс. рублей (с учетом районного коэ</w:t>
      </w:r>
      <w:r w:rsidR="00F54941" w:rsidRPr="00F54941">
        <w:rPr>
          <w:rFonts w:ascii="Times New Roman" w:hAnsi="Times New Roman" w:cs="Times New Roman"/>
          <w:sz w:val="20"/>
          <w:szCs w:val="20"/>
        </w:rPr>
        <w:t>ффициента и северной надбавки).</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F54941">
        <w:rPr>
          <w:rFonts w:ascii="Times New Roman" w:hAnsi="Times New Roman" w:cs="Times New Roman"/>
          <w:sz w:val="20"/>
          <w:szCs w:val="20"/>
        </w:rPr>
        <w:t>24. В нарушение пункта 15 Положения № 922 при расчете отпускных у работников занижен среднедневной заработок, что повлекло занижение выплаты отпускных работникам Учреждения. Не учтены премии при расчете среднего заработка у работников Учреждения на общую сумму 339,5 тыс. рублей.</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25. В нарушение Положения № 922, Определени</w:t>
      </w:r>
      <w:r w:rsidR="0019238A" w:rsidRPr="0019238A">
        <w:rPr>
          <w:rFonts w:ascii="Times New Roman" w:hAnsi="Times New Roman" w:cs="Times New Roman"/>
          <w:sz w:val="20"/>
          <w:szCs w:val="20"/>
        </w:rPr>
        <w:t>я</w:t>
      </w:r>
      <w:r w:rsidRPr="0019238A">
        <w:rPr>
          <w:rFonts w:ascii="Times New Roman" w:hAnsi="Times New Roman" w:cs="Times New Roman"/>
          <w:sz w:val="20"/>
          <w:szCs w:val="20"/>
        </w:rPr>
        <w:t xml:space="preserve"> Верховного Суда Российской Федерации от 10.05.2018 № 307-КГ18-918 при исчислении среднего заработка для отпуска в 2022 году не включена единовременная выплата работникам при предоставлении ежегодного отпуска в размере двух должностных окладов, на общую сумму по Учреждению 492,8 тыс. рублей.</w:t>
      </w:r>
      <w:r w:rsidRPr="00343C2F">
        <w:rPr>
          <w:rFonts w:ascii="Times New Roman" w:hAnsi="Times New Roman" w:cs="Times New Roman"/>
          <w:sz w:val="20"/>
          <w:szCs w:val="20"/>
        </w:rPr>
        <w:t xml:space="preserve"> </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26. В нарушение статьи 315 ТК РФ на единовременную выплату к отпуску в размере двух должностных окладов работникам Учреждения не начислены районный коэффициент в размере 246,4 тыс. рублей, и полярная надбавка за работу в условиях Крайнего Севера 394,3 тыс. рублей.</w:t>
      </w:r>
    </w:p>
    <w:p w:rsidR="00343C2F" w:rsidRPr="00343C2F" w:rsidRDefault="00343C2F" w:rsidP="00343C2F">
      <w:pPr>
        <w:spacing w:after="0" w:line="283" w:lineRule="auto"/>
        <w:ind w:firstLine="709"/>
        <w:jc w:val="both"/>
        <w:rPr>
          <w:rFonts w:ascii="Times New Roman" w:hAnsi="Times New Roman" w:cs="Times New Roman"/>
          <w:sz w:val="20"/>
          <w:szCs w:val="20"/>
        </w:rPr>
      </w:pPr>
      <w:proofErr w:type="gramStart"/>
      <w:r w:rsidRPr="0019238A">
        <w:rPr>
          <w:rFonts w:ascii="Times New Roman" w:hAnsi="Times New Roman" w:cs="Times New Roman"/>
          <w:sz w:val="20"/>
          <w:szCs w:val="20"/>
        </w:rPr>
        <w:t>Не исчисление выплат за работу в условиях Крайнего Севера повлекли: неуплату налога на доходы физических лиц в размере 83,3 тыс. рублей, страховых взносов в Пенсионный фонд 193,5 тыс. рублей, а также, в результате не включения районного коэффициента и полярной надбавки при расчете среднего заработка к отпуску, занижение выплат отпускных работникам Учреждения.</w:t>
      </w:r>
      <w:proofErr w:type="gramEnd"/>
    </w:p>
    <w:p w:rsidR="00343C2F" w:rsidRPr="00343C2F"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 xml:space="preserve">27. </w:t>
      </w:r>
      <w:proofErr w:type="gramStart"/>
      <w:r w:rsidRPr="0019238A">
        <w:rPr>
          <w:rFonts w:ascii="Times New Roman" w:hAnsi="Times New Roman" w:cs="Times New Roman"/>
          <w:sz w:val="20"/>
          <w:szCs w:val="20"/>
        </w:rPr>
        <w:t>В нарушение Положения № 922 при расчете среднего заработка для оплаты отпускных не включались единовременные премии в размере  41,4 тыс. рублей при награждении почетными грамотами, благодарственными письмами работников, а также в связи с юбилейными датами работников, юбилейными датами Учреждения, в связи с государственными и профессиональными праздниками за добросовестный труд, уволенными в связи с уходом на заслуженный отдых.</w:t>
      </w:r>
      <w:proofErr w:type="gramEnd"/>
    </w:p>
    <w:p w:rsidR="00343C2F" w:rsidRPr="00343C2F"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28. В нарушение статьи 315 ТК РФ на единовременные премии при награждении почетными грамотами, благодарственными письмами работников и т.д. не начислены районный коэффициент в размере 20,7 тыс. рублей и полярная надбавка в размере 33,1 тыс. рублей за работу в условиях Крайнего Севера.</w:t>
      </w:r>
    </w:p>
    <w:p w:rsidR="00343C2F" w:rsidRPr="00343C2F" w:rsidRDefault="00343C2F" w:rsidP="00343C2F">
      <w:pPr>
        <w:spacing w:after="0" w:line="283" w:lineRule="auto"/>
        <w:ind w:firstLine="709"/>
        <w:jc w:val="both"/>
        <w:rPr>
          <w:rFonts w:ascii="Times New Roman" w:hAnsi="Times New Roman" w:cs="Times New Roman"/>
          <w:sz w:val="20"/>
          <w:szCs w:val="20"/>
        </w:rPr>
      </w:pPr>
      <w:proofErr w:type="gramStart"/>
      <w:r w:rsidRPr="0019238A">
        <w:rPr>
          <w:rFonts w:ascii="Times New Roman" w:hAnsi="Times New Roman" w:cs="Times New Roman"/>
          <w:sz w:val="20"/>
          <w:szCs w:val="20"/>
        </w:rPr>
        <w:t>Не исчисление выплат за работу в условиях Крайнего Севера повлекли: неуплату налога на доходы физических лиц в размере 7,0 тыс. рублей, страховых взносов в Пенсионный фонд 16,2 тыс. рублей, а также, в результате не включения районного коэффициента и полярной надбавки при расчете среднего заработка к отпуску, занижение выплат отпускных работникам Учреждения.</w:t>
      </w:r>
      <w:proofErr w:type="gramEnd"/>
    </w:p>
    <w:p w:rsidR="00343C2F" w:rsidRPr="0019238A"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 xml:space="preserve">29. В нарушение Приказа Минфина России от 31.12.2016 № 257н, Единой учетной политики Учреждения на конец года на балансе числится имущество стоимостью до 10,0 тыс. рублей (включительно) в количестве 909 штук общей балансовой стоимостью 4 841,9 тыс. рубль, которые должны учитываться на </w:t>
      </w:r>
      <w:proofErr w:type="spellStart"/>
      <w:r w:rsidRPr="0019238A">
        <w:rPr>
          <w:rFonts w:ascii="Times New Roman" w:hAnsi="Times New Roman" w:cs="Times New Roman"/>
          <w:sz w:val="20"/>
          <w:szCs w:val="20"/>
        </w:rPr>
        <w:t>забалансовом</w:t>
      </w:r>
      <w:proofErr w:type="spellEnd"/>
      <w:r w:rsidRPr="0019238A">
        <w:rPr>
          <w:rFonts w:ascii="Times New Roman" w:hAnsi="Times New Roman" w:cs="Times New Roman"/>
          <w:sz w:val="20"/>
          <w:szCs w:val="20"/>
        </w:rPr>
        <w:t xml:space="preserve"> счете 21 «Основные средства в эксплуатации». По двум объектам стоимостью до 10,0 тыс. рублей в нарушение вышеуказанного приказа начисляется амортизация.</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30. По двум нежилым помещениям установлено несоответствие размера площади в реестре муниципальной собственности с данными ЕГРЮЛ.</w:t>
      </w:r>
      <w:r w:rsidRPr="00343C2F">
        <w:rPr>
          <w:rFonts w:ascii="Times New Roman" w:hAnsi="Times New Roman" w:cs="Times New Roman"/>
          <w:sz w:val="20"/>
          <w:szCs w:val="20"/>
        </w:rPr>
        <w:t xml:space="preserve"> </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31. Выявлено несоответствие по балансовой стоимости движимого имущества: по бухгалтерскому учету числится больше движимого имущества на 4 406,0 тыс. рублей, чем по реестру имущества, находящегося в собственности Печенгского муниципального округа и переданного на праве оперативного управления Учреждению на 01.01.2023г.</w:t>
      </w:r>
      <w:r w:rsidRPr="00343C2F">
        <w:rPr>
          <w:rFonts w:ascii="Times New Roman" w:hAnsi="Times New Roman" w:cs="Times New Roman"/>
          <w:sz w:val="20"/>
          <w:szCs w:val="20"/>
        </w:rPr>
        <w:t xml:space="preserve"> </w:t>
      </w:r>
    </w:p>
    <w:p w:rsidR="00343C2F" w:rsidRPr="0019238A"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32. В ходе контрольного мероприятия установлено несоответствие данных указанных в Реестре имущества, закрепленного за МКУ «Управление по обеспечению деятельности» в оперативном управлении, и данных по бухгалтерскому учету по движимому имуществу, что означает отсутствие надлежащего  контроля у Учреждения по движимому имуществу:</w:t>
      </w:r>
    </w:p>
    <w:p w:rsidR="00343C2F" w:rsidRPr="0019238A"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 xml:space="preserve">- в нарушение Постановления администрации </w:t>
      </w:r>
      <w:r w:rsidR="0019238A" w:rsidRPr="0019238A">
        <w:rPr>
          <w:rFonts w:ascii="Times New Roman" w:hAnsi="Times New Roman" w:cs="Times New Roman"/>
          <w:sz w:val="20"/>
          <w:szCs w:val="20"/>
        </w:rPr>
        <w:t xml:space="preserve">от 23.12.2022 </w:t>
      </w:r>
      <w:r w:rsidRPr="0019238A">
        <w:rPr>
          <w:rFonts w:ascii="Times New Roman" w:hAnsi="Times New Roman" w:cs="Times New Roman"/>
          <w:sz w:val="20"/>
          <w:szCs w:val="20"/>
        </w:rPr>
        <w:t>№ 1827 в Реестре не числятся  автомобили MAZDA CX-5 в количестве 2 штук на общую сумму 8 500,0 тыс. руб.;</w:t>
      </w:r>
    </w:p>
    <w:p w:rsidR="00343C2F" w:rsidRPr="0019238A" w:rsidRDefault="00343C2F" w:rsidP="00343C2F">
      <w:pPr>
        <w:spacing w:after="0" w:line="283" w:lineRule="auto"/>
        <w:ind w:firstLine="709"/>
        <w:jc w:val="both"/>
        <w:rPr>
          <w:rFonts w:ascii="Times New Roman" w:hAnsi="Times New Roman" w:cs="Times New Roman"/>
          <w:sz w:val="20"/>
          <w:szCs w:val="20"/>
        </w:rPr>
      </w:pPr>
      <w:r w:rsidRPr="0019238A">
        <w:rPr>
          <w:rFonts w:ascii="Times New Roman" w:hAnsi="Times New Roman" w:cs="Times New Roman"/>
          <w:sz w:val="20"/>
          <w:szCs w:val="20"/>
        </w:rPr>
        <w:t>- в нарушение Постановления администрации</w:t>
      </w:r>
      <w:r w:rsidR="0019238A" w:rsidRPr="0019238A">
        <w:t xml:space="preserve"> </w:t>
      </w:r>
      <w:r w:rsidR="0019238A" w:rsidRPr="0019238A">
        <w:rPr>
          <w:rFonts w:ascii="Times New Roman" w:hAnsi="Times New Roman" w:cs="Times New Roman"/>
          <w:sz w:val="20"/>
          <w:szCs w:val="20"/>
        </w:rPr>
        <w:t xml:space="preserve">от 12.05.2022 </w:t>
      </w:r>
      <w:r w:rsidRPr="0019238A">
        <w:rPr>
          <w:rFonts w:ascii="Times New Roman" w:hAnsi="Times New Roman" w:cs="Times New Roman"/>
          <w:sz w:val="20"/>
          <w:szCs w:val="20"/>
        </w:rPr>
        <w:t xml:space="preserve"> № 652 автомобиль Тойота – </w:t>
      </w:r>
      <w:proofErr w:type="spellStart"/>
      <w:r w:rsidRPr="0019238A">
        <w:rPr>
          <w:rFonts w:ascii="Times New Roman" w:hAnsi="Times New Roman" w:cs="Times New Roman"/>
          <w:sz w:val="20"/>
          <w:szCs w:val="20"/>
        </w:rPr>
        <w:t>Ленд</w:t>
      </w:r>
      <w:proofErr w:type="spellEnd"/>
      <w:r w:rsidRPr="0019238A">
        <w:rPr>
          <w:rFonts w:ascii="Times New Roman" w:hAnsi="Times New Roman" w:cs="Times New Roman"/>
          <w:sz w:val="20"/>
          <w:szCs w:val="20"/>
        </w:rPr>
        <w:t xml:space="preserve"> </w:t>
      </w:r>
      <w:proofErr w:type="spellStart"/>
      <w:r w:rsidRPr="0019238A">
        <w:rPr>
          <w:rFonts w:ascii="Times New Roman" w:hAnsi="Times New Roman" w:cs="Times New Roman"/>
          <w:sz w:val="20"/>
          <w:szCs w:val="20"/>
        </w:rPr>
        <w:t>Краузер</w:t>
      </w:r>
      <w:proofErr w:type="spellEnd"/>
      <w:r w:rsidRPr="0019238A">
        <w:rPr>
          <w:rFonts w:ascii="Times New Roman" w:hAnsi="Times New Roman" w:cs="Times New Roman"/>
          <w:sz w:val="20"/>
          <w:szCs w:val="20"/>
        </w:rPr>
        <w:t xml:space="preserve"> балансовой стоимостью 1 704,8 тыс. рубля не исключен из реестра имущества, закрепленного за МКУ «Управление по обеспечению деятельности» в оперативном управлении. Кроме этого автомобиль Тойота – </w:t>
      </w:r>
      <w:proofErr w:type="spellStart"/>
      <w:r w:rsidRPr="0019238A">
        <w:rPr>
          <w:rFonts w:ascii="Times New Roman" w:hAnsi="Times New Roman" w:cs="Times New Roman"/>
          <w:sz w:val="20"/>
          <w:szCs w:val="20"/>
        </w:rPr>
        <w:t>Ленд</w:t>
      </w:r>
      <w:proofErr w:type="spellEnd"/>
      <w:r w:rsidRPr="0019238A">
        <w:rPr>
          <w:rFonts w:ascii="Times New Roman" w:hAnsi="Times New Roman" w:cs="Times New Roman"/>
          <w:sz w:val="20"/>
          <w:szCs w:val="20"/>
        </w:rPr>
        <w:t xml:space="preserve"> </w:t>
      </w:r>
      <w:proofErr w:type="spellStart"/>
      <w:r w:rsidRPr="0019238A">
        <w:rPr>
          <w:rFonts w:ascii="Times New Roman" w:hAnsi="Times New Roman" w:cs="Times New Roman"/>
          <w:sz w:val="20"/>
          <w:szCs w:val="20"/>
        </w:rPr>
        <w:t>Краузер</w:t>
      </w:r>
      <w:proofErr w:type="spellEnd"/>
      <w:r w:rsidRPr="0019238A">
        <w:rPr>
          <w:rFonts w:ascii="Times New Roman" w:hAnsi="Times New Roman" w:cs="Times New Roman"/>
          <w:sz w:val="20"/>
          <w:szCs w:val="20"/>
        </w:rPr>
        <w:t xml:space="preserve"> числится в Реестре в двойном размере, завышение движимого имущества составляет 3 409,6 тыс. рублей; </w:t>
      </w:r>
    </w:p>
    <w:p w:rsidR="00343C2F" w:rsidRPr="004E732F" w:rsidRDefault="00343C2F" w:rsidP="00343C2F">
      <w:pPr>
        <w:spacing w:after="0" w:line="283" w:lineRule="auto"/>
        <w:ind w:firstLine="709"/>
        <w:jc w:val="both"/>
        <w:rPr>
          <w:rFonts w:ascii="Times New Roman" w:hAnsi="Times New Roman" w:cs="Times New Roman"/>
          <w:sz w:val="20"/>
          <w:szCs w:val="20"/>
        </w:rPr>
      </w:pPr>
      <w:r w:rsidRPr="004E732F">
        <w:rPr>
          <w:rFonts w:ascii="Times New Roman" w:hAnsi="Times New Roman" w:cs="Times New Roman"/>
          <w:sz w:val="20"/>
          <w:szCs w:val="20"/>
        </w:rPr>
        <w:t xml:space="preserve">- в нарушение Постановления администрации </w:t>
      </w:r>
      <w:r w:rsidR="004E732F" w:rsidRPr="004E732F">
        <w:rPr>
          <w:rFonts w:ascii="Times New Roman" w:hAnsi="Times New Roman" w:cs="Times New Roman"/>
          <w:sz w:val="20"/>
          <w:szCs w:val="20"/>
        </w:rPr>
        <w:t xml:space="preserve">от 23.12.2022 </w:t>
      </w:r>
      <w:r w:rsidRPr="004E732F">
        <w:rPr>
          <w:rFonts w:ascii="Times New Roman" w:hAnsi="Times New Roman" w:cs="Times New Roman"/>
          <w:sz w:val="20"/>
          <w:szCs w:val="20"/>
        </w:rPr>
        <w:t>№ 1818 имущество: моноблок, принтер, кресло на общую сумму 61,9 тыс. рублей не стоят в Реестре имущества на 01.01.2023г.;</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4E732F">
        <w:rPr>
          <w:rFonts w:ascii="Times New Roman" w:hAnsi="Times New Roman" w:cs="Times New Roman"/>
          <w:sz w:val="20"/>
          <w:szCs w:val="20"/>
        </w:rPr>
        <w:t>- в нарушение Порядка управления и распоряжения имуществом</w:t>
      </w:r>
      <w:r w:rsidR="004E732F" w:rsidRPr="004E732F">
        <w:rPr>
          <w:rFonts w:ascii="Times New Roman" w:hAnsi="Times New Roman" w:cs="Times New Roman"/>
          <w:sz w:val="20"/>
          <w:szCs w:val="20"/>
        </w:rPr>
        <w:t>,</w:t>
      </w:r>
      <w:r w:rsidRPr="004E732F">
        <w:rPr>
          <w:rFonts w:ascii="Times New Roman" w:hAnsi="Times New Roman" w:cs="Times New Roman"/>
          <w:sz w:val="20"/>
          <w:szCs w:val="20"/>
        </w:rPr>
        <w:t xml:space="preserve"> Устава Учреждения, автомобиль </w:t>
      </w:r>
      <w:proofErr w:type="spellStart"/>
      <w:r w:rsidRPr="004E732F">
        <w:rPr>
          <w:rFonts w:ascii="Times New Roman" w:hAnsi="Times New Roman" w:cs="Times New Roman"/>
          <w:sz w:val="20"/>
          <w:szCs w:val="20"/>
        </w:rPr>
        <w:t>Renault</w:t>
      </w:r>
      <w:proofErr w:type="spellEnd"/>
      <w:r w:rsidRPr="004E732F">
        <w:rPr>
          <w:rFonts w:ascii="Times New Roman" w:hAnsi="Times New Roman" w:cs="Times New Roman"/>
          <w:sz w:val="20"/>
          <w:szCs w:val="20"/>
        </w:rPr>
        <w:t xml:space="preserve"> </w:t>
      </w:r>
      <w:proofErr w:type="spellStart"/>
      <w:r w:rsidRPr="004E732F">
        <w:rPr>
          <w:rFonts w:ascii="Times New Roman" w:hAnsi="Times New Roman" w:cs="Times New Roman"/>
          <w:sz w:val="20"/>
          <w:szCs w:val="20"/>
        </w:rPr>
        <w:t>Daster</w:t>
      </w:r>
      <w:proofErr w:type="spellEnd"/>
      <w:r w:rsidRPr="004E732F">
        <w:rPr>
          <w:rFonts w:ascii="Times New Roman" w:hAnsi="Times New Roman" w:cs="Times New Roman"/>
          <w:sz w:val="20"/>
          <w:szCs w:val="20"/>
        </w:rPr>
        <w:t>, балансовой стоимостью 729,0 тыс. рублей не стоит в Реестре.</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4E732F">
        <w:rPr>
          <w:rFonts w:ascii="Times New Roman" w:hAnsi="Times New Roman" w:cs="Times New Roman"/>
          <w:sz w:val="20"/>
          <w:szCs w:val="20"/>
        </w:rPr>
        <w:t xml:space="preserve">33. В нарушение Порядка управления и распоряжения имуществом отсутствует нормативно-правовой акт, то есть согласие администрации Печенгского муниципального округа на передачу </w:t>
      </w:r>
      <w:r w:rsidRPr="004E732F">
        <w:rPr>
          <w:rFonts w:ascii="Times New Roman" w:hAnsi="Times New Roman" w:cs="Times New Roman"/>
          <w:sz w:val="20"/>
          <w:szCs w:val="20"/>
        </w:rPr>
        <w:lastRenderedPageBreak/>
        <w:t xml:space="preserve">муниципального имущества - автомобиля УАЗ </w:t>
      </w:r>
      <w:proofErr w:type="spellStart"/>
      <w:r w:rsidRPr="004E732F">
        <w:rPr>
          <w:rFonts w:ascii="Times New Roman" w:hAnsi="Times New Roman" w:cs="Times New Roman"/>
          <w:sz w:val="20"/>
          <w:szCs w:val="20"/>
        </w:rPr>
        <w:t>Hunter</w:t>
      </w:r>
      <w:proofErr w:type="spellEnd"/>
      <w:r w:rsidRPr="004E732F">
        <w:rPr>
          <w:rFonts w:ascii="Times New Roman" w:hAnsi="Times New Roman" w:cs="Times New Roman"/>
          <w:sz w:val="20"/>
          <w:szCs w:val="20"/>
        </w:rPr>
        <w:t xml:space="preserve"> балансовой стоимостью 566,4 тыс. рублей в безвозмездное пользование МБУ «РЭС» с 01.06.2022г. по 31.12.2022г.</w:t>
      </w:r>
    </w:p>
    <w:p w:rsidR="00343C2F" w:rsidRPr="004E732F" w:rsidRDefault="00343C2F" w:rsidP="00343C2F">
      <w:pPr>
        <w:spacing w:after="0" w:line="283" w:lineRule="auto"/>
        <w:ind w:firstLine="709"/>
        <w:jc w:val="both"/>
        <w:rPr>
          <w:rFonts w:ascii="Times New Roman" w:hAnsi="Times New Roman" w:cs="Times New Roman"/>
          <w:sz w:val="20"/>
          <w:szCs w:val="20"/>
        </w:rPr>
      </w:pPr>
      <w:r w:rsidRPr="004E732F">
        <w:rPr>
          <w:rFonts w:ascii="Times New Roman" w:hAnsi="Times New Roman" w:cs="Times New Roman"/>
          <w:sz w:val="20"/>
          <w:szCs w:val="20"/>
        </w:rPr>
        <w:t xml:space="preserve">Акты о приеме – передаче объектов нефинансовых активов (форма 0504101) заполнены не полностью: отсутствуют должности, подписи, расшифровки подписи. </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4E732F">
        <w:rPr>
          <w:rFonts w:ascii="Times New Roman" w:hAnsi="Times New Roman" w:cs="Times New Roman"/>
          <w:sz w:val="20"/>
          <w:szCs w:val="20"/>
        </w:rPr>
        <w:t xml:space="preserve">34. В нарушение Приказа № 52н в акте о приеме – передаче объектов нефинансовых активов, по нежилому помещению, расположенному по адресу </w:t>
      </w:r>
      <w:proofErr w:type="spellStart"/>
      <w:r w:rsidRPr="004E732F">
        <w:rPr>
          <w:rFonts w:ascii="Times New Roman" w:hAnsi="Times New Roman" w:cs="Times New Roman"/>
          <w:sz w:val="20"/>
          <w:szCs w:val="20"/>
        </w:rPr>
        <w:t>пгт</w:t>
      </w:r>
      <w:proofErr w:type="spellEnd"/>
      <w:r w:rsidRPr="004E732F">
        <w:rPr>
          <w:rFonts w:ascii="Times New Roman" w:hAnsi="Times New Roman" w:cs="Times New Roman"/>
          <w:sz w:val="20"/>
          <w:szCs w:val="20"/>
        </w:rPr>
        <w:t>. Никель, ул. Спортивная, д. 2а, балансовой стоимостью 271, 2 тыс. рублей отсутствуют подписи ответственного лица получателя по принятию объекта, отметки о принятии к учету получателем, подписи главного бухгалтера и исполнителя со стороны получателя, подпись руководителя, печать Комитета по управлению имуществом.</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4E732F">
        <w:rPr>
          <w:rFonts w:ascii="Times New Roman" w:hAnsi="Times New Roman" w:cs="Times New Roman"/>
          <w:sz w:val="20"/>
          <w:szCs w:val="20"/>
        </w:rPr>
        <w:t xml:space="preserve">35. На балансе Учреждения в оперативном управлении находится нежилое помещение по адресу: </w:t>
      </w:r>
      <w:proofErr w:type="spellStart"/>
      <w:r w:rsidRPr="004E732F">
        <w:rPr>
          <w:rFonts w:ascii="Times New Roman" w:hAnsi="Times New Roman" w:cs="Times New Roman"/>
          <w:sz w:val="20"/>
          <w:szCs w:val="20"/>
        </w:rPr>
        <w:t>пгт</w:t>
      </w:r>
      <w:proofErr w:type="spellEnd"/>
      <w:r w:rsidRPr="004E732F">
        <w:rPr>
          <w:rFonts w:ascii="Times New Roman" w:hAnsi="Times New Roman" w:cs="Times New Roman"/>
          <w:sz w:val="20"/>
          <w:szCs w:val="20"/>
        </w:rPr>
        <w:t xml:space="preserve"> Никель, пр. Гвардейский д.6/1, цокольный этаж, общей площадью 41,7 </w:t>
      </w:r>
      <w:proofErr w:type="spellStart"/>
      <w:r w:rsidRPr="004E732F">
        <w:rPr>
          <w:rFonts w:ascii="Times New Roman" w:hAnsi="Times New Roman" w:cs="Times New Roman"/>
          <w:sz w:val="20"/>
          <w:szCs w:val="20"/>
        </w:rPr>
        <w:t>кв.м</w:t>
      </w:r>
      <w:proofErr w:type="spellEnd"/>
      <w:r w:rsidRPr="004E732F">
        <w:rPr>
          <w:rFonts w:ascii="Times New Roman" w:hAnsi="Times New Roman" w:cs="Times New Roman"/>
          <w:sz w:val="20"/>
          <w:szCs w:val="20"/>
        </w:rPr>
        <w:t>., которое не занято и не используется в хозяйственной деятельности, однако Учреждение несет расходы по текущему ремонту и содержанию помещения, что является неэффективным финансовым бременем для Учреждения.</w:t>
      </w:r>
    </w:p>
    <w:p w:rsidR="00343C2F" w:rsidRPr="00FB7E0D" w:rsidRDefault="00343C2F" w:rsidP="00343C2F">
      <w:pPr>
        <w:spacing w:after="0" w:line="283" w:lineRule="auto"/>
        <w:ind w:firstLine="709"/>
        <w:jc w:val="both"/>
        <w:rPr>
          <w:rFonts w:ascii="Times New Roman" w:hAnsi="Times New Roman" w:cs="Times New Roman"/>
          <w:sz w:val="20"/>
          <w:szCs w:val="20"/>
        </w:rPr>
      </w:pPr>
      <w:r w:rsidRPr="00FB7E0D">
        <w:rPr>
          <w:rFonts w:ascii="Times New Roman" w:hAnsi="Times New Roman" w:cs="Times New Roman"/>
          <w:sz w:val="20"/>
          <w:szCs w:val="20"/>
        </w:rPr>
        <w:t>36. В нарушение Правил учета и хранения драгоценных металлов, драгоценных камней и продукции, а также Инструкции № 231н Учреждение документально не оформляет поступление, движение, инвентаризацию и выбытие драгоценных металлов, содержащихся в составных частях различных видов техники. По списанным основным средствам (компьютерам, телевизорам и т.д.) Учреждением не проводилась в 2022 году утилизация, информация о ломе, драгоценных металлов и отходах драгоценных камней в бухгалтерских документах, технических заключениях, актах о списании объектов нефинансовых активов отсутствует. За нарушение установленных правил извлечения, использования, обращения, получения, учета и хранения драгоценных металлов, или изделий, их содержащих, а равно правил сбора и сдачи лома и отходов таких металлов, организация может быть привлечена к ответств</w:t>
      </w:r>
      <w:r w:rsidR="00FB7E0D" w:rsidRPr="00FB7E0D">
        <w:rPr>
          <w:rFonts w:ascii="Times New Roman" w:hAnsi="Times New Roman" w:cs="Times New Roman"/>
          <w:sz w:val="20"/>
          <w:szCs w:val="20"/>
        </w:rPr>
        <w:t>енности по статье 19.14 КоАП РФ</w:t>
      </w:r>
      <w:r w:rsidRPr="00FB7E0D">
        <w:rPr>
          <w:rFonts w:ascii="Times New Roman" w:hAnsi="Times New Roman" w:cs="Times New Roman"/>
          <w:sz w:val="20"/>
          <w:szCs w:val="20"/>
        </w:rPr>
        <w:t>.</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t>38. Учреждением, как и ГРБС не установлен Порядок проведения представительских мероприятий, использования денежных средств, контроля  их использования.</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t xml:space="preserve">39. </w:t>
      </w:r>
      <w:proofErr w:type="gramStart"/>
      <w:r w:rsidRPr="00902AFA">
        <w:rPr>
          <w:rFonts w:ascii="Times New Roman" w:hAnsi="Times New Roman" w:cs="Times New Roman"/>
          <w:sz w:val="20"/>
          <w:szCs w:val="20"/>
        </w:rPr>
        <w:t>В нарушение приказа Учреждения от 24.01.2022 № 04-ОД по подарочной и сувенирной продукции от 1,0 тыс. рублей до 3,0 тыс. рублей отсутствуют письменные заявки Управляющего делами администрации, согласованные с Главой Печенгского муниципального округа или лица, его замещающего; по подарочной, сувенирной продукции от 3,0 тыс. рублей отсутствуют распорядительные документы Главы администрации Печенгского муниципального округа, договора дарения, заключаемые в письменной форме.</w:t>
      </w:r>
      <w:r w:rsidRPr="00343C2F">
        <w:rPr>
          <w:rFonts w:ascii="Times New Roman" w:hAnsi="Times New Roman" w:cs="Times New Roman"/>
          <w:sz w:val="20"/>
          <w:szCs w:val="20"/>
        </w:rPr>
        <w:t xml:space="preserve"> </w:t>
      </w:r>
      <w:proofErr w:type="gramEnd"/>
    </w:p>
    <w:p w:rsidR="00343C2F" w:rsidRPr="00343C2F" w:rsidRDefault="00343C2F" w:rsidP="00343C2F">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t>40. Выявлено неэффективное и нерациональное использование денежных средств, в результате списания новой, не используемой подарочной и сувенирной продукции с символикой Печенгского района на общую сумму 130,3 тыс. рублей. Положением о порядке приобретения и распоряжения подарочной сувенирной продукции Порядок списания подарочной и сувенирной продукции  в связи с утратой актуальности, не установлен.</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t xml:space="preserve">41. </w:t>
      </w:r>
      <w:proofErr w:type="gramStart"/>
      <w:r w:rsidRPr="00902AFA">
        <w:rPr>
          <w:rFonts w:ascii="Times New Roman" w:hAnsi="Times New Roman" w:cs="Times New Roman"/>
          <w:sz w:val="20"/>
          <w:szCs w:val="20"/>
        </w:rPr>
        <w:t xml:space="preserve">В нарушение постановления администрации Печенгского муниципального округа от 09.09.2021 № 938 «Об утверждении порядка принятия решения о признании безнадежной к взысканию задолженности по платежам в бюджет Печенгского муниципального округа» и Единой учетной политики, по списанной дебиторской задолженности по приказу Учреждения от 08.12.2022г. № 49-ОД на общую сумму </w:t>
      </w:r>
      <w:r w:rsidR="005D0DE2">
        <w:rPr>
          <w:rFonts w:ascii="Times New Roman" w:hAnsi="Times New Roman" w:cs="Times New Roman"/>
          <w:sz w:val="20"/>
          <w:szCs w:val="20"/>
        </w:rPr>
        <w:t xml:space="preserve">                 </w:t>
      </w:r>
      <w:r w:rsidRPr="00902AFA">
        <w:rPr>
          <w:rFonts w:ascii="Times New Roman" w:hAnsi="Times New Roman" w:cs="Times New Roman"/>
          <w:sz w:val="20"/>
          <w:szCs w:val="20"/>
        </w:rPr>
        <w:t>38,9 тыс. рублей отсутствуют подтверждающие документы (выписки из отчетности администратора дохода, справки администратора доходов</w:t>
      </w:r>
      <w:proofErr w:type="gramEnd"/>
      <w:r w:rsidRPr="00902AFA">
        <w:rPr>
          <w:rFonts w:ascii="Times New Roman" w:hAnsi="Times New Roman" w:cs="Times New Roman"/>
          <w:sz w:val="20"/>
          <w:szCs w:val="20"/>
        </w:rPr>
        <w:t>, договоры, счета, платежные документы, судебные постановления, свидетельства о смерти физического лица, выписки из ЕГРЮЛ); решение о признании безнадежной к взысканию задолженности по платежам в бюджет округа (подписанное присутствующими на заседании членами Комиссии и утвержденное Главой Печенгского муниципального округа); акт (приложение 1 к Единой учетной политике).</w:t>
      </w:r>
    </w:p>
    <w:p w:rsidR="00343C2F" w:rsidRPr="00902AFA" w:rsidRDefault="00343C2F" w:rsidP="00343C2F">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t xml:space="preserve">42. По автотранспортному средству </w:t>
      </w:r>
      <w:proofErr w:type="spellStart"/>
      <w:r w:rsidRPr="00902AFA">
        <w:rPr>
          <w:rFonts w:ascii="Times New Roman" w:hAnsi="Times New Roman" w:cs="Times New Roman"/>
          <w:sz w:val="20"/>
          <w:szCs w:val="20"/>
        </w:rPr>
        <w:t>Hyundai</w:t>
      </w:r>
      <w:proofErr w:type="spellEnd"/>
      <w:r w:rsidRPr="00902AFA">
        <w:rPr>
          <w:rFonts w:ascii="Times New Roman" w:hAnsi="Times New Roman" w:cs="Times New Roman"/>
          <w:sz w:val="20"/>
          <w:szCs w:val="20"/>
        </w:rPr>
        <w:t xml:space="preserve"> </w:t>
      </w:r>
      <w:proofErr w:type="spellStart"/>
      <w:r w:rsidRPr="00902AFA">
        <w:rPr>
          <w:rFonts w:ascii="Times New Roman" w:hAnsi="Times New Roman" w:cs="Times New Roman"/>
          <w:sz w:val="20"/>
          <w:szCs w:val="20"/>
        </w:rPr>
        <w:t>Sonata</w:t>
      </w:r>
      <w:proofErr w:type="spellEnd"/>
      <w:r w:rsidRPr="00902AFA">
        <w:rPr>
          <w:rFonts w:ascii="Times New Roman" w:hAnsi="Times New Roman" w:cs="Times New Roman"/>
          <w:sz w:val="20"/>
          <w:szCs w:val="20"/>
        </w:rPr>
        <w:t xml:space="preserve"> с государственным номером A 604 MO 51 Учреждением в 2022г. не утверждена норма расхода топлива, а также норма на моторные, гидравлические, специальные масла и жидкости, пластичные смазки.</w:t>
      </w:r>
      <w:bookmarkStart w:id="0" w:name="_GoBack"/>
      <w:bookmarkEnd w:id="0"/>
      <w:r w:rsidRPr="00902AFA">
        <w:rPr>
          <w:rFonts w:ascii="Times New Roman" w:hAnsi="Times New Roman" w:cs="Times New Roman"/>
          <w:sz w:val="20"/>
          <w:szCs w:val="20"/>
        </w:rPr>
        <w:t xml:space="preserve"> Установлено, что автотранспортное средство </w:t>
      </w:r>
      <w:proofErr w:type="spellStart"/>
      <w:r w:rsidRPr="00902AFA">
        <w:rPr>
          <w:rFonts w:ascii="Times New Roman" w:hAnsi="Times New Roman" w:cs="Times New Roman"/>
          <w:sz w:val="20"/>
          <w:szCs w:val="20"/>
        </w:rPr>
        <w:t>Hyundai</w:t>
      </w:r>
      <w:proofErr w:type="spellEnd"/>
      <w:r w:rsidRPr="00902AFA">
        <w:rPr>
          <w:rFonts w:ascii="Times New Roman" w:hAnsi="Times New Roman" w:cs="Times New Roman"/>
          <w:sz w:val="20"/>
          <w:szCs w:val="20"/>
        </w:rPr>
        <w:t xml:space="preserve"> </w:t>
      </w:r>
      <w:proofErr w:type="spellStart"/>
      <w:r w:rsidRPr="00902AFA">
        <w:rPr>
          <w:rFonts w:ascii="Times New Roman" w:hAnsi="Times New Roman" w:cs="Times New Roman"/>
          <w:sz w:val="20"/>
          <w:szCs w:val="20"/>
        </w:rPr>
        <w:t>Sonata</w:t>
      </w:r>
      <w:proofErr w:type="spellEnd"/>
      <w:r w:rsidRPr="00902AFA">
        <w:rPr>
          <w:rFonts w:ascii="Times New Roman" w:hAnsi="Times New Roman" w:cs="Times New Roman"/>
          <w:sz w:val="20"/>
          <w:szCs w:val="20"/>
        </w:rPr>
        <w:t xml:space="preserve"> не участвовало в хозяйственной деятельности Учреждения 4 года, в связи с этим установлено неэффективное использование автотранспортного средства в соответствии с целями своей деятельности и назначением имущества на сумму 24 тыс. рублей. С 08.11.2022г. Учреждением не утверждена норма расхода на моторные, гидравлические, специальные масла и жидкости, пластичные смазки по всем автотранспортным средствам.</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t>43. Выявлено расхождение количества бензина по маркам бензина АИ-95 и АИ – 92. По оборотно – сальдовой ведомости бензина марки АИ-95 больше на 112,077 литров, чем в путевых листах, бензина марки АИ -92 по оборотно – сальдовой ведомости  меньше на 112,04 литра, чем в путевых листах.</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lastRenderedPageBreak/>
        <w:t>44. В нарушение приказа Минтранса России от 11.09.2020 № 368 «Об утверждении обязательных реквизитов и порядка заполнения путевых листов» в путевых листах (на второй стороне) не указывалось время при выезде транспортного средства и его заезде.</w:t>
      </w:r>
    </w:p>
    <w:p w:rsidR="00343C2F" w:rsidRPr="00343C2F" w:rsidRDefault="00343C2F" w:rsidP="00343C2F">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t xml:space="preserve">45. Израсходованы бюджетные средства на общую сумму 29,2 тыс. рублей по услугам по обращению с ТКО по недвижимому имуществу, расположенному по адресу: </w:t>
      </w:r>
      <w:proofErr w:type="spellStart"/>
      <w:r w:rsidRPr="00902AFA">
        <w:rPr>
          <w:rFonts w:ascii="Times New Roman" w:hAnsi="Times New Roman" w:cs="Times New Roman"/>
          <w:sz w:val="20"/>
          <w:szCs w:val="20"/>
        </w:rPr>
        <w:t>пгт</w:t>
      </w:r>
      <w:proofErr w:type="spellEnd"/>
      <w:r w:rsidRPr="00902AFA">
        <w:rPr>
          <w:rFonts w:ascii="Times New Roman" w:hAnsi="Times New Roman" w:cs="Times New Roman"/>
          <w:sz w:val="20"/>
          <w:szCs w:val="20"/>
        </w:rPr>
        <w:t xml:space="preserve"> Никель, пр. </w:t>
      </w:r>
      <w:proofErr w:type="gramStart"/>
      <w:r w:rsidRPr="00902AFA">
        <w:rPr>
          <w:rFonts w:ascii="Times New Roman" w:hAnsi="Times New Roman" w:cs="Times New Roman"/>
          <w:sz w:val="20"/>
          <w:szCs w:val="20"/>
        </w:rPr>
        <w:t>Гвардейский</w:t>
      </w:r>
      <w:proofErr w:type="gramEnd"/>
      <w:r w:rsidRPr="00902AFA">
        <w:rPr>
          <w:rFonts w:ascii="Times New Roman" w:hAnsi="Times New Roman" w:cs="Times New Roman"/>
          <w:sz w:val="20"/>
          <w:szCs w:val="20"/>
        </w:rPr>
        <w:t>, 11 - здание Пенсионного фонда России в Печенгском районе Мурманской области, которое не закреплено на праве оперативного управления за Учреждением. МКУ «Управление по обеспечению деятельности администрации Печенгского округа» представлены пояснения, что в договоре с АО «</w:t>
      </w:r>
      <w:proofErr w:type="spellStart"/>
      <w:r w:rsidRPr="00902AFA">
        <w:rPr>
          <w:rFonts w:ascii="Times New Roman" w:hAnsi="Times New Roman" w:cs="Times New Roman"/>
          <w:sz w:val="20"/>
          <w:szCs w:val="20"/>
        </w:rPr>
        <w:t>Ситиматик</w:t>
      </w:r>
      <w:proofErr w:type="spellEnd"/>
      <w:r w:rsidRPr="00902AFA">
        <w:rPr>
          <w:rFonts w:ascii="Times New Roman" w:hAnsi="Times New Roman" w:cs="Times New Roman"/>
          <w:sz w:val="20"/>
          <w:szCs w:val="20"/>
        </w:rPr>
        <w:t>» допущена техническая ошибка в адресе дома № 11, должен быть указан проспект Гвардейский д.11а.</w:t>
      </w:r>
    </w:p>
    <w:p w:rsidR="00F078FA" w:rsidRPr="00902AFA" w:rsidRDefault="00F078FA" w:rsidP="00F078FA">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t>Учреждением проводится работа по устранению выявленных в ходе контрольного мероприятия нарушений. Для своевременного устранения отдельных нарушений в МКУ «Управление</w:t>
      </w:r>
      <w:r w:rsidRPr="00902AFA">
        <w:t xml:space="preserve"> </w:t>
      </w:r>
      <w:r w:rsidRPr="00902AFA">
        <w:rPr>
          <w:rFonts w:ascii="Times New Roman" w:hAnsi="Times New Roman" w:cs="Times New Roman"/>
          <w:sz w:val="20"/>
          <w:szCs w:val="20"/>
        </w:rPr>
        <w:t>по обеспечению деятельности администрации Печенгского округа»  направлено Представление.</w:t>
      </w:r>
    </w:p>
    <w:p w:rsidR="00F078FA" w:rsidRPr="00F078FA" w:rsidRDefault="00F078FA" w:rsidP="00F078FA">
      <w:pPr>
        <w:spacing w:after="0" w:line="283" w:lineRule="auto"/>
        <w:ind w:firstLine="709"/>
        <w:jc w:val="both"/>
        <w:rPr>
          <w:rFonts w:ascii="Times New Roman" w:hAnsi="Times New Roman" w:cs="Times New Roman"/>
          <w:sz w:val="20"/>
          <w:szCs w:val="20"/>
        </w:rPr>
      </w:pPr>
      <w:r w:rsidRPr="00902AFA">
        <w:rPr>
          <w:rFonts w:ascii="Times New Roman" w:hAnsi="Times New Roman" w:cs="Times New Roman"/>
          <w:sz w:val="20"/>
          <w:szCs w:val="20"/>
        </w:rPr>
        <w:t>Копия отчета о результатах контрольного мероприятия направлена в Совет депутатов Печенгского муниципального округа и Прокуратуру Печенгского района.</w:t>
      </w:r>
    </w:p>
    <w:p w:rsidR="00F078FA" w:rsidRPr="00F078FA" w:rsidRDefault="00F078FA" w:rsidP="00F078FA">
      <w:pPr>
        <w:spacing w:after="0" w:line="283" w:lineRule="auto"/>
        <w:ind w:firstLine="709"/>
        <w:jc w:val="both"/>
        <w:rPr>
          <w:rFonts w:ascii="Times New Roman" w:hAnsi="Times New Roman" w:cs="Times New Roman"/>
          <w:sz w:val="20"/>
          <w:szCs w:val="20"/>
        </w:rPr>
      </w:pPr>
    </w:p>
    <w:p w:rsidR="00343C2F" w:rsidRPr="00343C2F" w:rsidRDefault="00343C2F" w:rsidP="00343C2F">
      <w:pPr>
        <w:spacing w:after="0" w:line="283" w:lineRule="auto"/>
        <w:ind w:firstLine="709"/>
        <w:jc w:val="both"/>
        <w:rPr>
          <w:rFonts w:ascii="Times New Roman" w:hAnsi="Times New Roman" w:cs="Times New Roman"/>
          <w:sz w:val="20"/>
          <w:szCs w:val="20"/>
        </w:rPr>
      </w:pPr>
    </w:p>
    <w:sectPr w:rsidR="00343C2F" w:rsidRPr="00343C2F"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5D0DE2">
          <w:rPr>
            <w:rFonts w:ascii="Times New Roman" w:hAnsi="Times New Roman" w:cs="Times New Roman"/>
            <w:noProof/>
            <w:sz w:val="18"/>
            <w:szCs w:val="18"/>
          </w:rPr>
          <w:t>3</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17E"/>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50E"/>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238A"/>
    <w:rsid w:val="0019341E"/>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6EF0"/>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3C2F"/>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1EB5"/>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C6F"/>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E732F"/>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0DE2"/>
    <w:rsid w:val="005D679A"/>
    <w:rsid w:val="005D6B86"/>
    <w:rsid w:val="005D7262"/>
    <w:rsid w:val="005E0AC1"/>
    <w:rsid w:val="005E0C7C"/>
    <w:rsid w:val="005E237E"/>
    <w:rsid w:val="005E2F7B"/>
    <w:rsid w:val="005E4FD2"/>
    <w:rsid w:val="005E6176"/>
    <w:rsid w:val="005E69F2"/>
    <w:rsid w:val="005E7EE1"/>
    <w:rsid w:val="005F0420"/>
    <w:rsid w:val="005F046C"/>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18A0"/>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5BC"/>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5420"/>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2AFA"/>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E70A2"/>
    <w:rsid w:val="009F151F"/>
    <w:rsid w:val="009F2F2A"/>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0B7E"/>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5A5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BB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186"/>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A21"/>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145A"/>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0AC3"/>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09E"/>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6772"/>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8FA"/>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4941"/>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B7E0D"/>
    <w:rsid w:val="00FC0501"/>
    <w:rsid w:val="00FC0C18"/>
    <w:rsid w:val="00FC1254"/>
    <w:rsid w:val="00FC2183"/>
    <w:rsid w:val="00FC30D5"/>
    <w:rsid w:val="00FC5B96"/>
    <w:rsid w:val="00FC6FC0"/>
    <w:rsid w:val="00FC705A"/>
    <w:rsid w:val="00FC7C9B"/>
    <w:rsid w:val="00FC7F84"/>
    <w:rsid w:val="00FD0C26"/>
    <w:rsid w:val="00FD3502"/>
    <w:rsid w:val="00FD5A43"/>
    <w:rsid w:val="00FD5ED0"/>
    <w:rsid w:val="00FD6414"/>
    <w:rsid w:val="00FD6DEB"/>
    <w:rsid w:val="00FD7610"/>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485E-5168-4153-A7F8-D62CB800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3101</Words>
  <Characters>17677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17</cp:revision>
  <cp:lastPrinted>2021-05-28T06:49:00Z</cp:lastPrinted>
  <dcterms:created xsi:type="dcterms:W3CDTF">2024-04-05T13:43:00Z</dcterms:created>
  <dcterms:modified xsi:type="dcterms:W3CDTF">2024-04-19T10:59:00Z</dcterms:modified>
</cp:coreProperties>
</file>