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CE4" w:rsidRPr="000E1EEE" w:rsidRDefault="00722CE4" w:rsidP="00D0336F">
      <w:pPr>
        <w:ind w:right="-2"/>
        <w:jc w:val="center"/>
        <w:rPr>
          <w:b/>
          <w:noProof/>
          <w:sz w:val="18"/>
          <w:szCs w:val="18"/>
        </w:rPr>
      </w:pPr>
    </w:p>
    <w:p w:rsidR="0094697D" w:rsidRPr="0094697D" w:rsidRDefault="0094697D" w:rsidP="0094697D">
      <w:pPr>
        <w:widowControl w:val="0"/>
        <w:jc w:val="center"/>
        <w:rPr>
          <w:b/>
          <w:sz w:val="28"/>
          <w:szCs w:val="28"/>
        </w:rPr>
      </w:pPr>
      <w:r w:rsidRPr="0094697D">
        <w:rPr>
          <w:b/>
          <w:sz w:val="28"/>
          <w:szCs w:val="28"/>
        </w:rPr>
        <w:t>Информация</w:t>
      </w:r>
    </w:p>
    <w:p w:rsidR="0019542A" w:rsidRPr="002D55E6" w:rsidRDefault="0094697D" w:rsidP="0094697D">
      <w:pPr>
        <w:widowControl w:val="0"/>
        <w:jc w:val="center"/>
        <w:rPr>
          <w:b/>
          <w:sz w:val="28"/>
          <w:szCs w:val="28"/>
        </w:rPr>
      </w:pPr>
      <w:r w:rsidRPr="0094697D">
        <w:rPr>
          <w:b/>
          <w:sz w:val="28"/>
          <w:szCs w:val="28"/>
        </w:rPr>
        <w:t>о результатах экспертизы проекта решения Совета депутатов Печенгского муниципального округа Мурманской области «О внесении изменений в решение Совета депутатов Печенгского муниципального округа от 15.12.2023 № 433 «О бюджете округа на 2024 год и на плановый период 2025 и 2026 годов»</w:t>
      </w:r>
    </w:p>
    <w:p w:rsidR="0019542A" w:rsidRPr="000B47C1" w:rsidRDefault="0019542A" w:rsidP="0019542A">
      <w:pPr>
        <w:widowControl w:val="0"/>
        <w:jc w:val="center"/>
        <w:rPr>
          <w:b/>
          <w:sz w:val="28"/>
          <w:szCs w:val="28"/>
        </w:rPr>
      </w:pPr>
    </w:p>
    <w:p w:rsidR="00A804F9" w:rsidRDefault="00A804F9" w:rsidP="00D4090E">
      <w:pPr>
        <w:pStyle w:val="6"/>
        <w:spacing w:before="0" w:line="283" w:lineRule="auto"/>
        <w:rPr>
          <w:szCs w:val="28"/>
          <w:lang w:val="ru-RU"/>
        </w:rPr>
      </w:pPr>
      <w:r w:rsidRPr="002D55E6">
        <w:rPr>
          <w:szCs w:val="28"/>
        </w:rPr>
        <w:t xml:space="preserve">Заключение на проект решения </w:t>
      </w:r>
      <w:r w:rsidR="0062327C" w:rsidRPr="002D55E6">
        <w:rPr>
          <w:szCs w:val="28"/>
        </w:rPr>
        <w:t xml:space="preserve">Совета депутатов </w:t>
      </w:r>
      <w:r w:rsidR="004F743F">
        <w:rPr>
          <w:szCs w:val="28"/>
          <w:lang w:val="ru-RU"/>
        </w:rPr>
        <w:t>Печенгского муниципального округа</w:t>
      </w:r>
      <w:r w:rsidR="0062327C" w:rsidRPr="002D55E6">
        <w:rPr>
          <w:szCs w:val="28"/>
        </w:rPr>
        <w:t xml:space="preserve"> Мурманской области </w:t>
      </w:r>
      <w:r w:rsidR="00C33900" w:rsidRPr="00C33900">
        <w:rPr>
          <w:szCs w:val="28"/>
        </w:rPr>
        <w:t>«О внесении изменений в решение Совета депутатов Печенгского муниципального округа от 1</w:t>
      </w:r>
      <w:r w:rsidR="002B6E27">
        <w:rPr>
          <w:szCs w:val="28"/>
          <w:lang w:val="ru-RU"/>
        </w:rPr>
        <w:t>5</w:t>
      </w:r>
      <w:r w:rsidR="00C33900" w:rsidRPr="00C33900">
        <w:rPr>
          <w:szCs w:val="28"/>
        </w:rPr>
        <w:t>.12.202</w:t>
      </w:r>
      <w:r w:rsidR="002B6E27">
        <w:rPr>
          <w:szCs w:val="28"/>
          <w:lang w:val="ru-RU"/>
        </w:rPr>
        <w:t>3</w:t>
      </w:r>
      <w:r w:rsidR="00C33900" w:rsidRPr="00C33900">
        <w:rPr>
          <w:szCs w:val="28"/>
        </w:rPr>
        <w:t xml:space="preserve"> № </w:t>
      </w:r>
      <w:r w:rsidR="002B6E27">
        <w:rPr>
          <w:szCs w:val="28"/>
          <w:lang w:val="ru-RU"/>
        </w:rPr>
        <w:t>433</w:t>
      </w:r>
      <w:r w:rsidR="00C33900" w:rsidRPr="00C33900">
        <w:rPr>
          <w:szCs w:val="28"/>
        </w:rPr>
        <w:t xml:space="preserve"> «О бюджете округа на 202</w:t>
      </w:r>
      <w:r w:rsidR="002B6E27">
        <w:rPr>
          <w:szCs w:val="28"/>
          <w:lang w:val="ru-RU"/>
        </w:rPr>
        <w:t>4</w:t>
      </w:r>
      <w:r w:rsidR="00C33900" w:rsidRPr="00C33900">
        <w:rPr>
          <w:szCs w:val="28"/>
        </w:rPr>
        <w:t xml:space="preserve"> год и на плановый период 202</w:t>
      </w:r>
      <w:r w:rsidR="002B6E27">
        <w:rPr>
          <w:szCs w:val="28"/>
          <w:lang w:val="ru-RU"/>
        </w:rPr>
        <w:t>5</w:t>
      </w:r>
      <w:r w:rsidR="00C33900" w:rsidRPr="00C33900">
        <w:rPr>
          <w:szCs w:val="28"/>
        </w:rPr>
        <w:t xml:space="preserve"> и 202</w:t>
      </w:r>
      <w:r w:rsidR="002B6E27">
        <w:rPr>
          <w:szCs w:val="28"/>
          <w:lang w:val="ru-RU"/>
        </w:rPr>
        <w:t>6</w:t>
      </w:r>
      <w:r w:rsidR="00C33900" w:rsidRPr="00C33900">
        <w:rPr>
          <w:szCs w:val="28"/>
        </w:rPr>
        <w:t xml:space="preserve"> годов»»</w:t>
      </w:r>
      <w:r w:rsidR="0062327C" w:rsidRPr="002D55E6">
        <w:rPr>
          <w:szCs w:val="28"/>
        </w:rPr>
        <w:t xml:space="preserve"> </w:t>
      </w:r>
      <w:r w:rsidRPr="002D55E6">
        <w:rPr>
          <w:szCs w:val="28"/>
        </w:rPr>
        <w:t xml:space="preserve">(далее – </w:t>
      </w:r>
      <w:r w:rsidRPr="002D55E6">
        <w:rPr>
          <w:szCs w:val="28"/>
          <w:lang w:val="ru-RU"/>
        </w:rPr>
        <w:t>проект решения</w:t>
      </w:r>
      <w:r w:rsidRPr="002D55E6">
        <w:rPr>
          <w:szCs w:val="28"/>
        </w:rPr>
        <w:t>) подготовлено в соответствии с Бюджетным кодексом Р</w:t>
      </w:r>
      <w:r w:rsidR="00251B1A">
        <w:rPr>
          <w:szCs w:val="28"/>
          <w:lang w:val="ru-RU"/>
        </w:rPr>
        <w:t xml:space="preserve">оссийской </w:t>
      </w:r>
      <w:r w:rsidRPr="002D55E6">
        <w:rPr>
          <w:szCs w:val="28"/>
        </w:rPr>
        <w:t>Ф</w:t>
      </w:r>
      <w:r w:rsidR="00251B1A">
        <w:rPr>
          <w:szCs w:val="28"/>
          <w:lang w:val="ru-RU"/>
        </w:rPr>
        <w:t>едерации</w:t>
      </w:r>
      <w:r w:rsidRPr="002D55E6">
        <w:rPr>
          <w:szCs w:val="28"/>
        </w:rPr>
        <w:t xml:space="preserve">, </w:t>
      </w:r>
      <w:r w:rsidRPr="002D55E6">
        <w:rPr>
          <w:szCs w:val="28"/>
          <w:lang w:val="ru-RU"/>
        </w:rPr>
        <w:t xml:space="preserve">решением Совета депутатов </w:t>
      </w:r>
      <w:r w:rsidR="004F743F">
        <w:rPr>
          <w:szCs w:val="28"/>
          <w:lang w:val="ru-RU"/>
        </w:rPr>
        <w:t>Печенгского муниципального округа</w:t>
      </w:r>
      <w:r w:rsidRPr="002D55E6">
        <w:rPr>
          <w:szCs w:val="28"/>
        </w:rPr>
        <w:t xml:space="preserve"> </w:t>
      </w:r>
      <w:r w:rsidR="00252AF4" w:rsidRPr="002D55E6">
        <w:rPr>
          <w:szCs w:val="28"/>
          <w:lang w:val="ru-RU"/>
        </w:rPr>
        <w:t>Мурманской области</w:t>
      </w:r>
      <w:r w:rsidR="0062327C" w:rsidRPr="002D55E6">
        <w:rPr>
          <w:szCs w:val="28"/>
        </w:rPr>
        <w:t xml:space="preserve"> от </w:t>
      </w:r>
      <w:r w:rsidR="004F743F">
        <w:rPr>
          <w:szCs w:val="28"/>
          <w:lang w:val="ru-RU"/>
        </w:rPr>
        <w:t>23.10.2020</w:t>
      </w:r>
      <w:r w:rsidR="0062327C" w:rsidRPr="002D55E6">
        <w:rPr>
          <w:szCs w:val="28"/>
        </w:rPr>
        <w:t xml:space="preserve"> </w:t>
      </w:r>
      <w:r w:rsidR="004F743F">
        <w:rPr>
          <w:szCs w:val="28"/>
          <w:lang w:val="ru-RU"/>
        </w:rPr>
        <w:t xml:space="preserve">      </w:t>
      </w:r>
      <w:r w:rsidR="0062327C" w:rsidRPr="002D55E6">
        <w:rPr>
          <w:szCs w:val="28"/>
          <w:lang w:val="ru-RU"/>
        </w:rPr>
        <w:t>№</w:t>
      </w:r>
      <w:r w:rsidR="0062327C" w:rsidRPr="002D55E6">
        <w:rPr>
          <w:szCs w:val="28"/>
        </w:rPr>
        <w:t xml:space="preserve"> </w:t>
      </w:r>
      <w:r w:rsidR="004F743F">
        <w:rPr>
          <w:szCs w:val="28"/>
          <w:lang w:val="ru-RU"/>
        </w:rPr>
        <w:t>41</w:t>
      </w:r>
      <w:r w:rsidR="0062327C" w:rsidRPr="002D55E6">
        <w:rPr>
          <w:szCs w:val="28"/>
        </w:rPr>
        <w:t xml:space="preserve"> </w:t>
      </w:r>
      <w:r w:rsidR="0062327C" w:rsidRPr="002D55E6">
        <w:rPr>
          <w:szCs w:val="28"/>
          <w:lang w:val="ru-RU"/>
        </w:rPr>
        <w:t>«</w:t>
      </w:r>
      <w:r w:rsidR="004F743F" w:rsidRPr="004F743F">
        <w:rPr>
          <w:szCs w:val="28"/>
          <w:lang w:val="ru-RU"/>
        </w:rPr>
        <w:t>Об утверждении Положения о бюджетном процессе в Печенгском муниципальном округе Мурманской области</w:t>
      </w:r>
      <w:r w:rsidR="0062327C" w:rsidRPr="002D55E6">
        <w:rPr>
          <w:szCs w:val="28"/>
          <w:lang w:val="ru-RU"/>
        </w:rPr>
        <w:t xml:space="preserve">» </w:t>
      </w:r>
      <w:r w:rsidRPr="002D55E6">
        <w:rPr>
          <w:szCs w:val="28"/>
        </w:rPr>
        <w:t xml:space="preserve">(далее - </w:t>
      </w:r>
      <w:r w:rsidR="00DB06C3" w:rsidRPr="002D55E6">
        <w:rPr>
          <w:szCs w:val="28"/>
          <w:lang w:val="ru-RU"/>
        </w:rPr>
        <w:t>решение</w:t>
      </w:r>
      <w:r w:rsidRPr="002D55E6">
        <w:rPr>
          <w:szCs w:val="28"/>
        </w:rPr>
        <w:t xml:space="preserve"> о бюджетном процессе) и </w:t>
      </w:r>
      <w:r w:rsidRPr="002D55E6">
        <w:rPr>
          <w:szCs w:val="28"/>
          <w:lang w:val="ru-RU"/>
        </w:rPr>
        <w:t xml:space="preserve">решением Совета депутатов </w:t>
      </w:r>
      <w:r w:rsidR="004F743F">
        <w:rPr>
          <w:szCs w:val="28"/>
          <w:lang w:val="ru-RU"/>
        </w:rPr>
        <w:t>Печенгского муниципального округа</w:t>
      </w:r>
      <w:r w:rsidRPr="002D55E6">
        <w:rPr>
          <w:szCs w:val="28"/>
          <w:lang w:val="ru-RU"/>
        </w:rPr>
        <w:t xml:space="preserve"> </w:t>
      </w:r>
      <w:r w:rsidR="007242A9" w:rsidRPr="002D55E6">
        <w:rPr>
          <w:szCs w:val="28"/>
          <w:lang w:val="ru-RU"/>
        </w:rPr>
        <w:t>М</w:t>
      </w:r>
      <w:r w:rsidRPr="002D55E6">
        <w:rPr>
          <w:szCs w:val="28"/>
          <w:lang w:val="ru-RU"/>
        </w:rPr>
        <w:t>урманской области</w:t>
      </w:r>
      <w:r w:rsidRPr="002D55E6">
        <w:rPr>
          <w:szCs w:val="28"/>
        </w:rPr>
        <w:t xml:space="preserve"> от </w:t>
      </w:r>
      <w:r w:rsidR="004F743F">
        <w:rPr>
          <w:szCs w:val="28"/>
          <w:lang w:val="ru-RU"/>
        </w:rPr>
        <w:t>25.12.2020</w:t>
      </w:r>
      <w:r w:rsidRPr="002D55E6">
        <w:rPr>
          <w:szCs w:val="28"/>
        </w:rPr>
        <w:t xml:space="preserve"> № </w:t>
      </w:r>
      <w:r w:rsidR="004F743F">
        <w:rPr>
          <w:szCs w:val="28"/>
          <w:lang w:val="ru-RU"/>
        </w:rPr>
        <w:t>83</w:t>
      </w:r>
      <w:r w:rsidRPr="002D55E6">
        <w:rPr>
          <w:szCs w:val="28"/>
        </w:rPr>
        <w:t xml:space="preserve"> </w:t>
      </w:r>
      <w:r w:rsidRPr="002D55E6">
        <w:rPr>
          <w:szCs w:val="28"/>
          <w:lang w:val="ru-RU"/>
        </w:rPr>
        <w:t>«</w:t>
      </w:r>
      <w:r w:rsidR="004F743F" w:rsidRPr="004F743F">
        <w:rPr>
          <w:szCs w:val="28"/>
        </w:rPr>
        <w:t>О переименовании Контрольно-счетной палаты муниципального образования Печенгский район Мурманской области и об утверждении Положения о Контрольно-счетной палате Печенгского муниципального округа Мурманской области</w:t>
      </w:r>
      <w:r w:rsidRPr="004F743F">
        <w:rPr>
          <w:szCs w:val="28"/>
        </w:rPr>
        <w:t>»</w:t>
      </w:r>
      <w:r w:rsidRPr="002D55E6">
        <w:rPr>
          <w:szCs w:val="28"/>
        </w:rPr>
        <w:t xml:space="preserve"> по материалам, представленным </w:t>
      </w:r>
      <w:r w:rsidRPr="002D55E6">
        <w:rPr>
          <w:szCs w:val="28"/>
          <w:lang w:val="ru-RU"/>
        </w:rPr>
        <w:t xml:space="preserve">Советом депутатов </w:t>
      </w:r>
      <w:r w:rsidR="004F743F">
        <w:rPr>
          <w:szCs w:val="28"/>
          <w:lang w:val="ru-RU"/>
        </w:rPr>
        <w:t xml:space="preserve">Печенгского муниципального </w:t>
      </w:r>
      <w:r w:rsidR="004F743F" w:rsidRPr="00C33900">
        <w:rPr>
          <w:szCs w:val="28"/>
          <w:lang w:val="ru-RU"/>
        </w:rPr>
        <w:t>округа</w:t>
      </w:r>
      <w:r w:rsidRPr="00C33900">
        <w:rPr>
          <w:szCs w:val="28"/>
        </w:rPr>
        <w:t xml:space="preserve"> письмом от </w:t>
      </w:r>
      <w:r w:rsidR="00D70205">
        <w:rPr>
          <w:szCs w:val="28"/>
          <w:lang w:val="ru-RU"/>
        </w:rPr>
        <w:t>17</w:t>
      </w:r>
      <w:r w:rsidR="00590384">
        <w:rPr>
          <w:szCs w:val="28"/>
          <w:lang w:val="ru-RU"/>
        </w:rPr>
        <w:t>.</w:t>
      </w:r>
      <w:r w:rsidR="00D70205">
        <w:rPr>
          <w:szCs w:val="28"/>
          <w:lang w:val="ru-RU"/>
        </w:rPr>
        <w:t>12</w:t>
      </w:r>
      <w:r w:rsidR="00590384">
        <w:rPr>
          <w:szCs w:val="28"/>
          <w:lang w:val="ru-RU"/>
        </w:rPr>
        <w:t>.2024</w:t>
      </w:r>
      <w:r w:rsidRPr="00C33900">
        <w:rPr>
          <w:szCs w:val="28"/>
        </w:rPr>
        <w:t xml:space="preserve"> № </w:t>
      </w:r>
      <w:r w:rsidR="00D70205">
        <w:rPr>
          <w:szCs w:val="28"/>
          <w:lang w:val="ru-RU"/>
        </w:rPr>
        <w:t>346</w:t>
      </w:r>
      <w:r w:rsidR="00C92ECB" w:rsidRPr="00C33900">
        <w:rPr>
          <w:szCs w:val="28"/>
          <w:lang w:val="ru-RU"/>
        </w:rPr>
        <w:t>.</w:t>
      </w:r>
    </w:p>
    <w:p w:rsidR="00483415" w:rsidRDefault="00483415" w:rsidP="00483415">
      <w:pPr>
        <w:pStyle w:val="afc"/>
        <w:spacing w:line="283" w:lineRule="auto"/>
        <w:rPr>
          <w:lang w:val="ru-RU"/>
        </w:rPr>
      </w:pPr>
      <w:r w:rsidRPr="002D55E6">
        <w:t xml:space="preserve">Заключение на </w:t>
      </w:r>
      <w:r w:rsidRPr="002D55E6">
        <w:rPr>
          <w:lang w:val="ru-RU"/>
        </w:rPr>
        <w:t>проект решения</w:t>
      </w:r>
      <w:r w:rsidRPr="002D55E6">
        <w:t xml:space="preserve"> подготовлено Контрольно-счетной палатой </w:t>
      </w:r>
      <w:r w:rsidRPr="002D55E6">
        <w:rPr>
          <w:lang w:val="ru-RU"/>
        </w:rPr>
        <w:t>Печенгск</w:t>
      </w:r>
      <w:r w:rsidR="004F743F">
        <w:rPr>
          <w:lang w:val="ru-RU"/>
        </w:rPr>
        <w:t>ого муниципального округа</w:t>
      </w:r>
      <w:r w:rsidRPr="002D55E6">
        <w:rPr>
          <w:lang w:val="ru-RU"/>
        </w:rPr>
        <w:t xml:space="preserve"> </w:t>
      </w:r>
      <w:r w:rsidRPr="002D55E6">
        <w:t xml:space="preserve">Мурманской области (далее – </w:t>
      </w:r>
      <w:r w:rsidRPr="002D55E6">
        <w:rPr>
          <w:lang w:val="ru-RU"/>
        </w:rPr>
        <w:t>Контрольно-счетная палата</w:t>
      </w:r>
      <w:r w:rsidRPr="002D55E6">
        <w:t xml:space="preserve">) на основе анализа документов и материалов, представленных с </w:t>
      </w:r>
      <w:r w:rsidRPr="002D55E6">
        <w:rPr>
          <w:lang w:val="ru-RU"/>
        </w:rPr>
        <w:t>проектом решения</w:t>
      </w:r>
      <w:r w:rsidRPr="002D55E6">
        <w:t>.</w:t>
      </w:r>
    </w:p>
    <w:p w:rsidR="00511E6F" w:rsidRPr="004F6484" w:rsidRDefault="00511E6F" w:rsidP="004F6484">
      <w:pPr>
        <w:pStyle w:val="1"/>
        <w:numPr>
          <w:ilvl w:val="0"/>
          <w:numId w:val="11"/>
        </w:numPr>
        <w:spacing w:before="0" w:line="283" w:lineRule="auto"/>
        <w:ind w:left="0" w:firstLine="709"/>
        <w:jc w:val="both"/>
        <w:rPr>
          <w:rFonts w:ascii="Times New Roman" w:eastAsia="Calibri" w:hAnsi="Times New Roman" w:cs="Times New Roman"/>
          <w:color w:val="auto"/>
          <w:sz w:val="28"/>
          <w:szCs w:val="28"/>
        </w:rPr>
      </w:pPr>
      <w:r w:rsidRPr="004F6484">
        <w:rPr>
          <w:rFonts w:ascii="Times New Roman" w:eastAsia="Calibri" w:hAnsi="Times New Roman" w:cs="Times New Roman"/>
          <w:b/>
          <w:color w:val="auto"/>
          <w:sz w:val="28"/>
          <w:szCs w:val="28"/>
        </w:rPr>
        <w:t>Изменение основных характеристик бюджета</w:t>
      </w:r>
      <w:r w:rsidR="00876CF0" w:rsidRPr="004F6484">
        <w:rPr>
          <w:rFonts w:ascii="Times New Roman" w:eastAsia="Calibri" w:hAnsi="Times New Roman" w:cs="Times New Roman"/>
          <w:b/>
          <w:color w:val="auto"/>
          <w:sz w:val="28"/>
          <w:szCs w:val="28"/>
        </w:rPr>
        <w:t xml:space="preserve"> </w:t>
      </w:r>
      <w:r w:rsidRPr="004F6484">
        <w:rPr>
          <w:rFonts w:ascii="Times New Roman" w:eastAsia="Calibri" w:hAnsi="Times New Roman" w:cs="Times New Roman"/>
          <w:color w:val="auto"/>
          <w:sz w:val="28"/>
          <w:szCs w:val="28"/>
        </w:rPr>
        <w:t>решения Совета депутатов Печенгского муниципального округа от 15.12.2023 № 433 «О бюджете округа на 2024 год и на плановый период 2025 и 2026 годов» (далее – решение о бюджете).</w:t>
      </w:r>
    </w:p>
    <w:p w:rsidR="00D70205" w:rsidRPr="00D70205" w:rsidRDefault="00D70205" w:rsidP="00D70205">
      <w:pPr>
        <w:pStyle w:val="afc"/>
        <w:spacing w:line="283" w:lineRule="auto"/>
        <w:rPr>
          <w:lang w:val="ru-RU"/>
        </w:rPr>
      </w:pPr>
      <w:r w:rsidRPr="00D70205">
        <w:rPr>
          <w:lang w:val="ru-RU"/>
        </w:rPr>
        <w:t xml:space="preserve">В соответствии с </w:t>
      </w:r>
      <w:r w:rsidR="002A5626">
        <w:rPr>
          <w:lang w:val="ru-RU"/>
        </w:rPr>
        <w:t xml:space="preserve">подпунктами 1.1. и 1.2 </w:t>
      </w:r>
      <w:r w:rsidRPr="00D70205">
        <w:rPr>
          <w:lang w:val="ru-RU"/>
        </w:rPr>
        <w:t>пункт</w:t>
      </w:r>
      <w:r w:rsidR="002A5626">
        <w:rPr>
          <w:lang w:val="ru-RU"/>
        </w:rPr>
        <w:t xml:space="preserve">а 1 </w:t>
      </w:r>
      <w:r w:rsidRPr="00D70205">
        <w:rPr>
          <w:lang w:val="ru-RU"/>
        </w:rPr>
        <w:t>проекта решения вносятся изменения в основные характеристики бюджета Печенгского муниципального округа (далее – бюджет округа, бюджет) в части общего объема доходов, расходов, верхнего предела муниципального внутреннего долга, верхнего предела долга по муниципальным гарантиям и дефицита бюджета округа на 2024 год и плановый период 2025 и 2026 годов.</w:t>
      </w:r>
    </w:p>
    <w:p w:rsidR="006E2308" w:rsidRDefault="00D70205" w:rsidP="00D70205">
      <w:pPr>
        <w:pStyle w:val="afc"/>
        <w:spacing w:line="283" w:lineRule="auto"/>
        <w:rPr>
          <w:lang w:val="ru-RU"/>
        </w:rPr>
      </w:pPr>
      <w:r w:rsidRPr="00D70205">
        <w:rPr>
          <w:lang w:val="ru-RU"/>
        </w:rPr>
        <w:t>Изменения основных параметров бюджета округа на 2024 год и плановый период 2025 и 2026 годов представлены в таблице 1:</w:t>
      </w:r>
    </w:p>
    <w:p w:rsidR="00D70205" w:rsidRDefault="00D70205" w:rsidP="00D70205">
      <w:pPr>
        <w:jc w:val="right"/>
        <w:rPr>
          <w:sz w:val="20"/>
          <w:szCs w:val="20"/>
        </w:rPr>
      </w:pPr>
      <w:r w:rsidRPr="00BF7C59">
        <w:rPr>
          <w:sz w:val="20"/>
          <w:szCs w:val="20"/>
        </w:rPr>
        <w:t>таблица 1</w:t>
      </w:r>
      <w:r>
        <w:rPr>
          <w:sz w:val="20"/>
          <w:szCs w:val="20"/>
        </w:rPr>
        <w:t xml:space="preserve">, </w:t>
      </w:r>
      <w:r w:rsidRPr="00D4090E">
        <w:rPr>
          <w:sz w:val="20"/>
          <w:szCs w:val="20"/>
        </w:rPr>
        <w:t>тыс. рублей</w:t>
      </w:r>
    </w:p>
    <w:tbl>
      <w:tblPr>
        <w:tblW w:w="9494" w:type="dxa"/>
        <w:tblInd w:w="93" w:type="dxa"/>
        <w:tblLook w:val="04A0" w:firstRow="1" w:lastRow="0" w:firstColumn="1" w:lastColumn="0" w:noHBand="0" w:noVBand="1"/>
      </w:tblPr>
      <w:tblGrid>
        <w:gridCol w:w="3134"/>
        <w:gridCol w:w="2020"/>
        <w:gridCol w:w="1740"/>
        <w:gridCol w:w="1540"/>
        <w:gridCol w:w="1060"/>
      </w:tblGrid>
      <w:tr w:rsidR="00D70205" w:rsidRPr="00D70205" w:rsidTr="00D70205">
        <w:trPr>
          <w:trHeight w:val="88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205" w:rsidRPr="00D70205" w:rsidRDefault="00D70205" w:rsidP="00D70205">
            <w:pPr>
              <w:jc w:val="center"/>
              <w:rPr>
                <w:color w:val="000000"/>
              </w:rPr>
            </w:pPr>
            <w:r w:rsidRPr="00D70205">
              <w:rPr>
                <w:color w:val="000000"/>
              </w:rPr>
              <w:t>Основные характеристики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70205" w:rsidRPr="00D70205" w:rsidRDefault="00D70205" w:rsidP="00D70205">
            <w:pPr>
              <w:jc w:val="center"/>
              <w:rPr>
                <w:color w:val="000000"/>
              </w:rPr>
            </w:pPr>
            <w:r w:rsidRPr="00D70205">
              <w:rPr>
                <w:color w:val="000000"/>
              </w:rPr>
              <w:t xml:space="preserve">Утверждено решением о бюджете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D70205" w:rsidRPr="00D70205" w:rsidRDefault="00D70205" w:rsidP="00D70205">
            <w:pPr>
              <w:jc w:val="center"/>
              <w:rPr>
                <w:color w:val="000000"/>
              </w:rPr>
            </w:pPr>
            <w:r w:rsidRPr="00D70205">
              <w:rPr>
                <w:color w:val="000000"/>
              </w:rPr>
              <w:t>Проект решения</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rsidR="00D70205" w:rsidRPr="00D70205" w:rsidRDefault="00D70205" w:rsidP="00D70205">
            <w:pPr>
              <w:jc w:val="center"/>
              <w:rPr>
                <w:color w:val="000000"/>
              </w:rPr>
            </w:pPr>
            <w:r w:rsidRPr="00D70205">
              <w:rPr>
                <w:color w:val="000000"/>
              </w:rPr>
              <w:t>Отклонения</w:t>
            </w:r>
          </w:p>
        </w:tc>
      </w:tr>
      <w:tr w:rsidR="00D70205" w:rsidRPr="00D70205" w:rsidTr="00D70205">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70205" w:rsidRPr="00D70205" w:rsidRDefault="00D70205" w:rsidP="00D70205">
            <w:pPr>
              <w:jc w:val="center"/>
              <w:rPr>
                <w:color w:val="000000"/>
                <w:sz w:val="20"/>
                <w:szCs w:val="20"/>
              </w:rPr>
            </w:pPr>
            <w:r w:rsidRPr="00D70205">
              <w:rPr>
                <w:color w:val="000000"/>
                <w:sz w:val="20"/>
                <w:szCs w:val="20"/>
              </w:rPr>
              <w:lastRenderedPageBreak/>
              <w:t>1</w:t>
            </w:r>
          </w:p>
        </w:tc>
        <w:tc>
          <w:tcPr>
            <w:tcW w:w="2020" w:type="dxa"/>
            <w:tcBorders>
              <w:top w:val="nil"/>
              <w:left w:val="nil"/>
              <w:bottom w:val="single" w:sz="4" w:space="0" w:color="auto"/>
              <w:right w:val="single" w:sz="4" w:space="0" w:color="auto"/>
            </w:tcBorders>
            <w:shd w:val="clear" w:color="auto" w:fill="auto"/>
            <w:vAlign w:val="center"/>
            <w:hideMark/>
          </w:tcPr>
          <w:p w:rsidR="00D70205" w:rsidRPr="00D70205" w:rsidRDefault="00D70205" w:rsidP="00D70205">
            <w:pPr>
              <w:jc w:val="center"/>
              <w:rPr>
                <w:color w:val="000000"/>
                <w:sz w:val="20"/>
                <w:szCs w:val="20"/>
              </w:rPr>
            </w:pPr>
            <w:r w:rsidRPr="00D70205">
              <w:rPr>
                <w:color w:val="000000"/>
                <w:sz w:val="20"/>
                <w:szCs w:val="20"/>
              </w:rPr>
              <w:t>2</w:t>
            </w:r>
          </w:p>
        </w:tc>
        <w:tc>
          <w:tcPr>
            <w:tcW w:w="1740" w:type="dxa"/>
            <w:tcBorders>
              <w:top w:val="nil"/>
              <w:left w:val="nil"/>
              <w:bottom w:val="single" w:sz="4" w:space="0" w:color="auto"/>
              <w:right w:val="single" w:sz="4" w:space="0" w:color="auto"/>
            </w:tcBorders>
            <w:shd w:val="clear" w:color="auto" w:fill="auto"/>
            <w:vAlign w:val="center"/>
            <w:hideMark/>
          </w:tcPr>
          <w:p w:rsidR="00D70205" w:rsidRPr="00D70205" w:rsidRDefault="00D70205" w:rsidP="00D70205">
            <w:pPr>
              <w:jc w:val="center"/>
              <w:rPr>
                <w:color w:val="000000"/>
                <w:sz w:val="20"/>
                <w:szCs w:val="20"/>
              </w:rPr>
            </w:pPr>
            <w:r w:rsidRPr="00D70205">
              <w:rPr>
                <w:color w:val="000000"/>
                <w:sz w:val="20"/>
                <w:szCs w:val="20"/>
              </w:rPr>
              <w:t>3</w:t>
            </w:r>
          </w:p>
        </w:tc>
        <w:tc>
          <w:tcPr>
            <w:tcW w:w="1540" w:type="dxa"/>
            <w:tcBorders>
              <w:top w:val="nil"/>
              <w:left w:val="nil"/>
              <w:bottom w:val="single" w:sz="4" w:space="0" w:color="auto"/>
              <w:right w:val="single" w:sz="4" w:space="0" w:color="auto"/>
            </w:tcBorders>
            <w:shd w:val="clear" w:color="auto" w:fill="auto"/>
            <w:vAlign w:val="center"/>
            <w:hideMark/>
          </w:tcPr>
          <w:p w:rsidR="00D70205" w:rsidRPr="00D70205" w:rsidRDefault="00D70205" w:rsidP="00D70205">
            <w:pPr>
              <w:jc w:val="center"/>
              <w:rPr>
                <w:color w:val="000000"/>
                <w:sz w:val="20"/>
                <w:szCs w:val="20"/>
              </w:rPr>
            </w:pPr>
            <w:r w:rsidRPr="00D70205">
              <w:rPr>
                <w:color w:val="000000"/>
                <w:sz w:val="20"/>
                <w:szCs w:val="20"/>
              </w:rPr>
              <w:t>4</w:t>
            </w:r>
          </w:p>
        </w:tc>
        <w:tc>
          <w:tcPr>
            <w:tcW w:w="1060" w:type="dxa"/>
            <w:tcBorders>
              <w:top w:val="nil"/>
              <w:left w:val="nil"/>
              <w:bottom w:val="single" w:sz="4" w:space="0" w:color="auto"/>
              <w:right w:val="single" w:sz="4" w:space="0" w:color="auto"/>
            </w:tcBorders>
            <w:shd w:val="clear" w:color="auto" w:fill="auto"/>
            <w:vAlign w:val="center"/>
            <w:hideMark/>
          </w:tcPr>
          <w:p w:rsidR="00D70205" w:rsidRPr="00D70205" w:rsidRDefault="00D70205" w:rsidP="00D70205">
            <w:pPr>
              <w:jc w:val="center"/>
              <w:rPr>
                <w:color w:val="000000"/>
                <w:sz w:val="20"/>
                <w:szCs w:val="20"/>
              </w:rPr>
            </w:pPr>
            <w:r w:rsidRPr="00D70205">
              <w:rPr>
                <w:color w:val="000000"/>
                <w:sz w:val="20"/>
                <w:szCs w:val="20"/>
              </w:rPr>
              <w:t>5</w:t>
            </w:r>
          </w:p>
        </w:tc>
      </w:tr>
      <w:tr w:rsidR="00D70205" w:rsidRPr="00D70205" w:rsidTr="00D70205">
        <w:trPr>
          <w:trHeight w:val="248"/>
        </w:trPr>
        <w:tc>
          <w:tcPr>
            <w:tcW w:w="94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70205" w:rsidRPr="00D70205" w:rsidRDefault="00D70205" w:rsidP="00D70205">
            <w:pPr>
              <w:jc w:val="center"/>
              <w:rPr>
                <w:b/>
                <w:bCs/>
                <w:color w:val="000000"/>
              </w:rPr>
            </w:pPr>
            <w:r w:rsidRPr="00D70205">
              <w:rPr>
                <w:b/>
                <w:bCs/>
                <w:color w:val="000000"/>
              </w:rPr>
              <w:t>на 2024 год</w:t>
            </w:r>
          </w:p>
        </w:tc>
      </w:tr>
      <w:tr w:rsidR="00D70205" w:rsidRPr="00D70205" w:rsidTr="00D70205">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70205" w:rsidRPr="00D70205" w:rsidRDefault="00D70205" w:rsidP="00D70205">
            <w:pPr>
              <w:jc w:val="both"/>
              <w:rPr>
                <w:color w:val="000000"/>
              </w:rPr>
            </w:pPr>
            <w:r w:rsidRPr="00D70205">
              <w:rPr>
                <w:color w:val="000000"/>
              </w:rPr>
              <w:t>Доходы</w:t>
            </w:r>
          </w:p>
        </w:tc>
        <w:tc>
          <w:tcPr>
            <w:tcW w:w="202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3 762 336,1</w:t>
            </w:r>
          </w:p>
        </w:tc>
        <w:tc>
          <w:tcPr>
            <w:tcW w:w="17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3 804 146,6</w:t>
            </w:r>
          </w:p>
        </w:tc>
        <w:tc>
          <w:tcPr>
            <w:tcW w:w="15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41 810,5</w:t>
            </w:r>
          </w:p>
        </w:tc>
        <w:tc>
          <w:tcPr>
            <w:tcW w:w="106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1,1%</w:t>
            </w:r>
          </w:p>
        </w:tc>
      </w:tr>
      <w:tr w:rsidR="00D70205" w:rsidRPr="00D70205" w:rsidTr="00D70205">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70205" w:rsidRPr="00D70205" w:rsidRDefault="00D70205" w:rsidP="00D70205">
            <w:pPr>
              <w:jc w:val="both"/>
              <w:rPr>
                <w:color w:val="000000"/>
              </w:rPr>
            </w:pPr>
            <w:r w:rsidRPr="00D70205">
              <w:rPr>
                <w:color w:val="000000"/>
              </w:rPr>
              <w:t>Расходы</w:t>
            </w:r>
          </w:p>
        </w:tc>
        <w:tc>
          <w:tcPr>
            <w:tcW w:w="202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3 952 247,7</w:t>
            </w:r>
          </w:p>
        </w:tc>
        <w:tc>
          <w:tcPr>
            <w:tcW w:w="17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3 917 202,4</w:t>
            </w:r>
          </w:p>
        </w:tc>
        <w:tc>
          <w:tcPr>
            <w:tcW w:w="15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-35 045,3</w:t>
            </w:r>
          </w:p>
        </w:tc>
        <w:tc>
          <w:tcPr>
            <w:tcW w:w="106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-0,9%</w:t>
            </w:r>
          </w:p>
        </w:tc>
      </w:tr>
      <w:tr w:rsidR="00D70205" w:rsidRPr="00D70205" w:rsidTr="00D70205">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70205" w:rsidRPr="00D70205" w:rsidRDefault="00D70205" w:rsidP="00D70205">
            <w:pPr>
              <w:jc w:val="both"/>
              <w:rPr>
                <w:color w:val="000000"/>
              </w:rPr>
            </w:pPr>
            <w:r w:rsidRPr="00D70205">
              <w:rPr>
                <w:color w:val="000000"/>
              </w:rPr>
              <w:t>Дефицит(-)/профицит(+)</w:t>
            </w:r>
          </w:p>
        </w:tc>
        <w:tc>
          <w:tcPr>
            <w:tcW w:w="202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-189 911,6</w:t>
            </w:r>
          </w:p>
        </w:tc>
        <w:tc>
          <w:tcPr>
            <w:tcW w:w="17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-113 055,8</w:t>
            </w:r>
          </w:p>
        </w:tc>
        <w:tc>
          <w:tcPr>
            <w:tcW w:w="15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76 855,8</w:t>
            </w:r>
          </w:p>
        </w:tc>
        <w:tc>
          <w:tcPr>
            <w:tcW w:w="106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-40,5%</w:t>
            </w:r>
          </w:p>
        </w:tc>
      </w:tr>
      <w:tr w:rsidR="00D70205" w:rsidRPr="00D70205" w:rsidTr="00D70205">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70205" w:rsidRPr="00D70205" w:rsidRDefault="00D70205" w:rsidP="00D70205">
            <w:pPr>
              <w:jc w:val="both"/>
              <w:rPr>
                <w:color w:val="000000"/>
              </w:rPr>
            </w:pPr>
            <w:r w:rsidRPr="00D70205">
              <w:rPr>
                <w:color w:val="000000"/>
              </w:rPr>
              <w:t>Верхний предел муниципального долга</w:t>
            </w:r>
          </w:p>
        </w:tc>
        <w:tc>
          <w:tcPr>
            <w:tcW w:w="202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167 850,0</w:t>
            </w:r>
          </w:p>
        </w:tc>
        <w:tc>
          <w:tcPr>
            <w:tcW w:w="17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90 994,2</w:t>
            </w:r>
          </w:p>
        </w:tc>
        <w:tc>
          <w:tcPr>
            <w:tcW w:w="15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-76 855,8</w:t>
            </w:r>
          </w:p>
        </w:tc>
        <w:tc>
          <w:tcPr>
            <w:tcW w:w="106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-45,8%</w:t>
            </w:r>
          </w:p>
        </w:tc>
      </w:tr>
      <w:tr w:rsidR="00D70205" w:rsidRPr="00D70205" w:rsidTr="00D70205">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70205" w:rsidRPr="00D70205" w:rsidRDefault="00D70205" w:rsidP="00D70205">
            <w:pPr>
              <w:jc w:val="both"/>
              <w:rPr>
                <w:color w:val="000000"/>
              </w:rPr>
            </w:pPr>
            <w:r w:rsidRPr="00D70205">
              <w:rPr>
                <w:color w:val="000000"/>
              </w:rPr>
              <w:t>Верхний предел долга по муниципальным гарантиям</w:t>
            </w:r>
          </w:p>
        </w:tc>
        <w:tc>
          <w:tcPr>
            <w:tcW w:w="202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0,0</w:t>
            </w:r>
          </w:p>
        </w:tc>
        <w:tc>
          <w:tcPr>
            <w:tcW w:w="17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0,0</w:t>
            </w:r>
          </w:p>
        </w:tc>
        <w:tc>
          <w:tcPr>
            <w:tcW w:w="15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0,0</w:t>
            </w:r>
          </w:p>
        </w:tc>
        <w:tc>
          <w:tcPr>
            <w:tcW w:w="106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w:t>
            </w:r>
          </w:p>
        </w:tc>
      </w:tr>
      <w:tr w:rsidR="00D70205" w:rsidRPr="00D70205" w:rsidTr="00D70205">
        <w:trPr>
          <w:trHeight w:val="315"/>
        </w:trPr>
        <w:tc>
          <w:tcPr>
            <w:tcW w:w="94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70205" w:rsidRPr="00D70205" w:rsidRDefault="00D70205" w:rsidP="00D70205">
            <w:pPr>
              <w:jc w:val="center"/>
              <w:rPr>
                <w:b/>
                <w:bCs/>
                <w:color w:val="000000"/>
              </w:rPr>
            </w:pPr>
            <w:r w:rsidRPr="00D70205">
              <w:rPr>
                <w:b/>
                <w:bCs/>
                <w:color w:val="000000"/>
              </w:rPr>
              <w:t>на 2025 год</w:t>
            </w:r>
          </w:p>
        </w:tc>
      </w:tr>
      <w:tr w:rsidR="00D70205" w:rsidRPr="00D70205" w:rsidTr="00D70205">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70205" w:rsidRPr="00D70205" w:rsidRDefault="00D70205" w:rsidP="00D70205">
            <w:pPr>
              <w:jc w:val="both"/>
              <w:rPr>
                <w:color w:val="000000"/>
              </w:rPr>
            </w:pPr>
            <w:r w:rsidRPr="00D70205">
              <w:rPr>
                <w:color w:val="000000"/>
              </w:rPr>
              <w:t>Доходы</w:t>
            </w:r>
          </w:p>
        </w:tc>
        <w:tc>
          <w:tcPr>
            <w:tcW w:w="202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3 437 293,0</w:t>
            </w:r>
          </w:p>
        </w:tc>
        <w:tc>
          <w:tcPr>
            <w:tcW w:w="17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3 970 530,0</w:t>
            </w:r>
          </w:p>
        </w:tc>
        <w:tc>
          <w:tcPr>
            <w:tcW w:w="15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533 237,0</w:t>
            </w:r>
          </w:p>
        </w:tc>
        <w:tc>
          <w:tcPr>
            <w:tcW w:w="106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15,5%</w:t>
            </w:r>
          </w:p>
        </w:tc>
      </w:tr>
      <w:tr w:rsidR="00D70205" w:rsidRPr="00D70205" w:rsidTr="00D70205">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70205" w:rsidRPr="00D70205" w:rsidRDefault="00D70205" w:rsidP="00D70205">
            <w:pPr>
              <w:jc w:val="both"/>
              <w:rPr>
                <w:color w:val="000000"/>
              </w:rPr>
            </w:pPr>
            <w:r w:rsidRPr="00D70205">
              <w:rPr>
                <w:color w:val="000000"/>
              </w:rPr>
              <w:t>Расходы</w:t>
            </w:r>
          </w:p>
        </w:tc>
        <w:tc>
          <w:tcPr>
            <w:tcW w:w="202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3 555 226,2</w:t>
            </w:r>
          </w:p>
        </w:tc>
        <w:tc>
          <w:tcPr>
            <w:tcW w:w="17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4 127 996,7</w:t>
            </w:r>
          </w:p>
        </w:tc>
        <w:tc>
          <w:tcPr>
            <w:tcW w:w="15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572 770,5</w:t>
            </w:r>
          </w:p>
        </w:tc>
        <w:tc>
          <w:tcPr>
            <w:tcW w:w="106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16,1%</w:t>
            </w:r>
          </w:p>
        </w:tc>
      </w:tr>
      <w:tr w:rsidR="00D70205" w:rsidRPr="00D70205" w:rsidTr="00D70205">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70205" w:rsidRPr="00D70205" w:rsidRDefault="00D70205" w:rsidP="00D70205">
            <w:pPr>
              <w:jc w:val="both"/>
              <w:rPr>
                <w:color w:val="000000"/>
              </w:rPr>
            </w:pPr>
            <w:r w:rsidRPr="00D70205">
              <w:rPr>
                <w:color w:val="000000"/>
              </w:rPr>
              <w:t>Дефицит(-)/профицит(+)</w:t>
            </w:r>
          </w:p>
        </w:tc>
        <w:tc>
          <w:tcPr>
            <w:tcW w:w="202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-117 933,2</w:t>
            </w:r>
          </w:p>
        </w:tc>
        <w:tc>
          <w:tcPr>
            <w:tcW w:w="17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-157 466,8</w:t>
            </w:r>
          </w:p>
        </w:tc>
        <w:tc>
          <w:tcPr>
            <w:tcW w:w="15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-39 533,6</w:t>
            </w:r>
          </w:p>
        </w:tc>
        <w:tc>
          <w:tcPr>
            <w:tcW w:w="106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33,5%</w:t>
            </w:r>
          </w:p>
        </w:tc>
      </w:tr>
      <w:tr w:rsidR="00D70205" w:rsidRPr="00D70205" w:rsidTr="00D70205">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70205" w:rsidRPr="00D70205" w:rsidRDefault="00D70205" w:rsidP="00D70205">
            <w:pPr>
              <w:jc w:val="both"/>
              <w:rPr>
                <w:color w:val="000000"/>
              </w:rPr>
            </w:pPr>
            <w:r w:rsidRPr="00D70205">
              <w:rPr>
                <w:color w:val="000000"/>
              </w:rPr>
              <w:t>Верхний предел муниципального долга</w:t>
            </w:r>
          </w:p>
        </w:tc>
        <w:tc>
          <w:tcPr>
            <w:tcW w:w="202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285 783,2</w:t>
            </w:r>
          </w:p>
        </w:tc>
        <w:tc>
          <w:tcPr>
            <w:tcW w:w="17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208 927,4</w:t>
            </w:r>
          </w:p>
        </w:tc>
        <w:tc>
          <w:tcPr>
            <w:tcW w:w="15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-76 855,8</w:t>
            </w:r>
          </w:p>
        </w:tc>
        <w:tc>
          <w:tcPr>
            <w:tcW w:w="106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-26,9%</w:t>
            </w:r>
          </w:p>
        </w:tc>
      </w:tr>
      <w:tr w:rsidR="00D70205" w:rsidRPr="00D70205" w:rsidTr="00D70205">
        <w:trPr>
          <w:trHeight w:val="630"/>
        </w:trPr>
        <w:tc>
          <w:tcPr>
            <w:tcW w:w="3134" w:type="dxa"/>
            <w:tcBorders>
              <w:top w:val="nil"/>
              <w:left w:val="single" w:sz="4" w:space="0" w:color="auto"/>
              <w:bottom w:val="nil"/>
              <w:right w:val="single" w:sz="4" w:space="0" w:color="auto"/>
            </w:tcBorders>
            <w:shd w:val="clear" w:color="auto" w:fill="auto"/>
            <w:vAlign w:val="center"/>
            <w:hideMark/>
          </w:tcPr>
          <w:p w:rsidR="00D70205" w:rsidRPr="00D70205" w:rsidRDefault="00D70205" w:rsidP="00D70205">
            <w:pPr>
              <w:jc w:val="both"/>
              <w:rPr>
                <w:color w:val="000000"/>
              </w:rPr>
            </w:pPr>
            <w:r w:rsidRPr="00D70205">
              <w:rPr>
                <w:color w:val="000000"/>
              </w:rPr>
              <w:t>Верхний предел долга по муниципальным гарантиям</w:t>
            </w:r>
          </w:p>
        </w:tc>
        <w:tc>
          <w:tcPr>
            <w:tcW w:w="2020" w:type="dxa"/>
            <w:tcBorders>
              <w:top w:val="nil"/>
              <w:left w:val="nil"/>
              <w:bottom w:val="nil"/>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0,0</w:t>
            </w:r>
          </w:p>
        </w:tc>
        <w:tc>
          <w:tcPr>
            <w:tcW w:w="1740" w:type="dxa"/>
            <w:tcBorders>
              <w:top w:val="nil"/>
              <w:left w:val="nil"/>
              <w:bottom w:val="nil"/>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0,0</w:t>
            </w:r>
          </w:p>
        </w:tc>
        <w:tc>
          <w:tcPr>
            <w:tcW w:w="1540" w:type="dxa"/>
            <w:tcBorders>
              <w:top w:val="nil"/>
              <w:left w:val="nil"/>
              <w:bottom w:val="nil"/>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0,0</w:t>
            </w:r>
          </w:p>
        </w:tc>
        <w:tc>
          <w:tcPr>
            <w:tcW w:w="106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w:t>
            </w:r>
          </w:p>
        </w:tc>
      </w:tr>
      <w:tr w:rsidR="00D70205" w:rsidRPr="00D70205" w:rsidTr="00D70205">
        <w:trPr>
          <w:trHeight w:val="315"/>
        </w:trPr>
        <w:tc>
          <w:tcPr>
            <w:tcW w:w="94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70205" w:rsidRPr="00D70205" w:rsidRDefault="00D70205" w:rsidP="00D70205">
            <w:pPr>
              <w:jc w:val="center"/>
              <w:rPr>
                <w:b/>
                <w:bCs/>
                <w:color w:val="000000"/>
              </w:rPr>
            </w:pPr>
            <w:r w:rsidRPr="00D70205">
              <w:rPr>
                <w:b/>
                <w:bCs/>
                <w:color w:val="000000"/>
              </w:rPr>
              <w:t>на 2026 год</w:t>
            </w:r>
          </w:p>
        </w:tc>
      </w:tr>
      <w:tr w:rsidR="00D70205" w:rsidRPr="00D70205" w:rsidTr="00D70205">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70205" w:rsidRPr="00D70205" w:rsidRDefault="00D70205" w:rsidP="00D70205">
            <w:pPr>
              <w:jc w:val="both"/>
              <w:rPr>
                <w:color w:val="000000"/>
              </w:rPr>
            </w:pPr>
            <w:r w:rsidRPr="00D70205">
              <w:rPr>
                <w:color w:val="000000"/>
              </w:rPr>
              <w:t>Доходы</w:t>
            </w:r>
          </w:p>
        </w:tc>
        <w:tc>
          <w:tcPr>
            <w:tcW w:w="202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3 125 357,7</w:t>
            </w:r>
          </w:p>
        </w:tc>
        <w:tc>
          <w:tcPr>
            <w:tcW w:w="17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3 936 342,0</w:t>
            </w:r>
          </w:p>
        </w:tc>
        <w:tc>
          <w:tcPr>
            <w:tcW w:w="15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810 984,3</w:t>
            </w:r>
          </w:p>
        </w:tc>
        <w:tc>
          <w:tcPr>
            <w:tcW w:w="106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25,9%</w:t>
            </w:r>
          </w:p>
        </w:tc>
      </w:tr>
      <w:tr w:rsidR="00D70205" w:rsidRPr="00D70205" w:rsidTr="00D70205">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70205" w:rsidRPr="00D70205" w:rsidRDefault="00D70205" w:rsidP="00D70205">
            <w:pPr>
              <w:jc w:val="both"/>
              <w:rPr>
                <w:color w:val="000000"/>
              </w:rPr>
            </w:pPr>
            <w:r w:rsidRPr="00D70205">
              <w:rPr>
                <w:color w:val="000000"/>
              </w:rPr>
              <w:t>Расходы</w:t>
            </w:r>
          </w:p>
        </w:tc>
        <w:tc>
          <w:tcPr>
            <w:tcW w:w="202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3 174 527,1</w:t>
            </w:r>
          </w:p>
        </w:tc>
        <w:tc>
          <w:tcPr>
            <w:tcW w:w="17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3 985 511,4</w:t>
            </w:r>
          </w:p>
        </w:tc>
        <w:tc>
          <w:tcPr>
            <w:tcW w:w="15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810 984,3</w:t>
            </w:r>
          </w:p>
        </w:tc>
        <w:tc>
          <w:tcPr>
            <w:tcW w:w="106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25,5%</w:t>
            </w:r>
          </w:p>
        </w:tc>
      </w:tr>
      <w:tr w:rsidR="00D70205" w:rsidRPr="00D70205" w:rsidTr="00D70205">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70205" w:rsidRPr="00D70205" w:rsidRDefault="00D70205" w:rsidP="00D70205">
            <w:pPr>
              <w:jc w:val="both"/>
              <w:rPr>
                <w:color w:val="000000"/>
              </w:rPr>
            </w:pPr>
            <w:r w:rsidRPr="00D70205">
              <w:rPr>
                <w:color w:val="000000"/>
              </w:rPr>
              <w:t>Дефицит(-)/профицит(+)</w:t>
            </w:r>
          </w:p>
        </w:tc>
        <w:tc>
          <w:tcPr>
            <w:tcW w:w="202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-49 169,4</w:t>
            </w:r>
          </w:p>
        </w:tc>
        <w:tc>
          <w:tcPr>
            <w:tcW w:w="17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-49 169,4</w:t>
            </w:r>
          </w:p>
        </w:tc>
        <w:tc>
          <w:tcPr>
            <w:tcW w:w="15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0,0</w:t>
            </w:r>
          </w:p>
        </w:tc>
        <w:tc>
          <w:tcPr>
            <w:tcW w:w="106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0,0%</w:t>
            </w:r>
          </w:p>
        </w:tc>
      </w:tr>
      <w:tr w:rsidR="00D70205" w:rsidRPr="00D70205" w:rsidTr="00D70205">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70205" w:rsidRPr="00D70205" w:rsidRDefault="00D70205" w:rsidP="00D70205">
            <w:pPr>
              <w:jc w:val="both"/>
              <w:rPr>
                <w:color w:val="000000"/>
              </w:rPr>
            </w:pPr>
            <w:r w:rsidRPr="00D70205">
              <w:rPr>
                <w:color w:val="000000"/>
              </w:rPr>
              <w:t>Верхний предел муниципального долга</w:t>
            </w:r>
          </w:p>
        </w:tc>
        <w:tc>
          <w:tcPr>
            <w:tcW w:w="202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334 952,6</w:t>
            </w:r>
          </w:p>
        </w:tc>
        <w:tc>
          <w:tcPr>
            <w:tcW w:w="17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258 096,8</w:t>
            </w:r>
          </w:p>
        </w:tc>
        <w:tc>
          <w:tcPr>
            <w:tcW w:w="154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-76 855,8</w:t>
            </w:r>
          </w:p>
        </w:tc>
        <w:tc>
          <w:tcPr>
            <w:tcW w:w="1060" w:type="dxa"/>
            <w:tcBorders>
              <w:top w:val="nil"/>
              <w:left w:val="nil"/>
              <w:bottom w:val="single" w:sz="4" w:space="0" w:color="auto"/>
              <w:right w:val="single" w:sz="4" w:space="0" w:color="auto"/>
            </w:tcBorders>
            <w:shd w:val="clear" w:color="auto" w:fill="auto"/>
            <w:noWrap/>
            <w:vAlign w:val="bottom"/>
            <w:hideMark/>
          </w:tcPr>
          <w:p w:rsidR="00D70205" w:rsidRPr="00D70205" w:rsidRDefault="00D70205" w:rsidP="00D70205">
            <w:pPr>
              <w:jc w:val="right"/>
              <w:rPr>
                <w:color w:val="000000"/>
              </w:rPr>
            </w:pPr>
            <w:r w:rsidRPr="00D70205">
              <w:rPr>
                <w:color w:val="000000"/>
              </w:rPr>
              <w:t>-22,9%</w:t>
            </w:r>
          </w:p>
        </w:tc>
      </w:tr>
    </w:tbl>
    <w:p w:rsidR="00697081" w:rsidRDefault="00697081" w:rsidP="00697081">
      <w:pPr>
        <w:pStyle w:val="afc"/>
        <w:spacing w:line="283" w:lineRule="auto"/>
        <w:rPr>
          <w:lang w:val="ru-RU"/>
        </w:rPr>
      </w:pPr>
      <w:r w:rsidRPr="00697081">
        <w:rPr>
          <w:lang w:val="ru-RU"/>
        </w:rPr>
        <w:t>Проектом решения основные характеристики бюджета</w:t>
      </w:r>
      <w:r>
        <w:rPr>
          <w:lang w:val="ru-RU"/>
        </w:rPr>
        <w:t xml:space="preserve"> округа </w:t>
      </w:r>
      <w:r w:rsidR="0016505D">
        <w:rPr>
          <w:lang w:val="ru-RU"/>
        </w:rPr>
        <w:t xml:space="preserve">в текущем году </w:t>
      </w:r>
      <w:r>
        <w:rPr>
          <w:lang w:val="ru-RU"/>
        </w:rPr>
        <w:t>предусмотрены с увеличением общ</w:t>
      </w:r>
      <w:r w:rsidR="004B49F6">
        <w:rPr>
          <w:lang w:val="ru-RU"/>
        </w:rPr>
        <w:t>его</w:t>
      </w:r>
      <w:r>
        <w:rPr>
          <w:lang w:val="ru-RU"/>
        </w:rPr>
        <w:t xml:space="preserve"> объем</w:t>
      </w:r>
      <w:r w:rsidR="004B49F6">
        <w:rPr>
          <w:lang w:val="ru-RU"/>
        </w:rPr>
        <w:t>а</w:t>
      </w:r>
      <w:r>
        <w:rPr>
          <w:lang w:val="ru-RU"/>
        </w:rPr>
        <w:t xml:space="preserve"> доходов </w:t>
      </w:r>
      <w:r w:rsidR="00F7184A">
        <w:rPr>
          <w:lang w:val="ru-RU"/>
        </w:rPr>
        <w:t xml:space="preserve">на 41 810,5 тыс. рублей </w:t>
      </w:r>
      <w:r w:rsidR="004B49F6">
        <w:rPr>
          <w:lang w:val="ru-RU"/>
        </w:rPr>
        <w:t xml:space="preserve">и </w:t>
      </w:r>
      <w:r w:rsidR="00F7184A">
        <w:rPr>
          <w:lang w:val="ru-RU"/>
        </w:rPr>
        <w:t xml:space="preserve">уменьшением </w:t>
      </w:r>
      <w:r w:rsidR="004B49F6">
        <w:rPr>
          <w:lang w:val="ru-RU"/>
        </w:rPr>
        <w:t xml:space="preserve">расходов </w:t>
      </w:r>
      <w:r>
        <w:rPr>
          <w:lang w:val="ru-RU"/>
        </w:rPr>
        <w:t xml:space="preserve">на </w:t>
      </w:r>
      <w:r w:rsidR="00F7184A">
        <w:rPr>
          <w:lang w:val="ru-RU"/>
        </w:rPr>
        <w:t>35 045,3</w:t>
      </w:r>
      <w:r w:rsidR="004B49F6">
        <w:rPr>
          <w:lang w:val="ru-RU"/>
        </w:rPr>
        <w:t xml:space="preserve"> тыс. рублей</w:t>
      </w:r>
      <w:r>
        <w:rPr>
          <w:lang w:val="ru-RU"/>
        </w:rPr>
        <w:t xml:space="preserve">. В результате </w:t>
      </w:r>
      <w:r w:rsidR="004B49F6">
        <w:rPr>
          <w:lang w:val="ru-RU"/>
        </w:rPr>
        <w:t>уменьшение</w:t>
      </w:r>
      <w:r>
        <w:rPr>
          <w:lang w:val="ru-RU"/>
        </w:rPr>
        <w:t xml:space="preserve"> размера дефицита составит </w:t>
      </w:r>
      <w:r w:rsidR="00F7184A">
        <w:rPr>
          <w:lang w:val="ru-RU"/>
        </w:rPr>
        <w:t>76 855,8</w:t>
      </w:r>
      <w:r>
        <w:rPr>
          <w:lang w:val="ru-RU"/>
        </w:rPr>
        <w:t xml:space="preserve"> тыс. рублей.</w:t>
      </w:r>
    </w:p>
    <w:p w:rsidR="00697081" w:rsidRDefault="00697081" w:rsidP="00697081">
      <w:pPr>
        <w:pStyle w:val="afc"/>
        <w:spacing w:line="283" w:lineRule="auto"/>
        <w:rPr>
          <w:lang w:val="ru-RU"/>
        </w:rPr>
      </w:pPr>
      <w:r w:rsidRPr="00697081">
        <w:rPr>
          <w:lang w:val="ru-RU"/>
        </w:rPr>
        <w:t>Увеличение основных характеристик бюджета в текущем году связано с</w:t>
      </w:r>
      <w:r>
        <w:rPr>
          <w:lang w:val="ru-RU"/>
        </w:rPr>
        <w:t xml:space="preserve"> </w:t>
      </w:r>
      <w:r w:rsidRPr="00697081">
        <w:rPr>
          <w:lang w:val="ru-RU"/>
        </w:rPr>
        <w:t xml:space="preserve">увеличением </w:t>
      </w:r>
      <w:r w:rsidR="004B49F6">
        <w:rPr>
          <w:lang w:val="ru-RU"/>
        </w:rPr>
        <w:t xml:space="preserve">налоговых и неналоговых доходов и </w:t>
      </w:r>
      <w:r w:rsidRPr="00697081">
        <w:rPr>
          <w:lang w:val="ru-RU"/>
        </w:rPr>
        <w:t>безвозмездных поступлений, из них</w:t>
      </w:r>
      <w:r w:rsidR="00303A1C">
        <w:rPr>
          <w:lang w:val="ru-RU"/>
        </w:rPr>
        <w:t>:</w:t>
      </w:r>
    </w:p>
    <w:p w:rsidR="004B49F6" w:rsidRDefault="007803FD" w:rsidP="00697081">
      <w:pPr>
        <w:pStyle w:val="afc"/>
        <w:spacing w:line="283" w:lineRule="auto"/>
        <w:rPr>
          <w:lang w:val="ru-RU"/>
        </w:rPr>
      </w:pPr>
      <w:r>
        <w:rPr>
          <w:lang w:val="ru-RU"/>
        </w:rPr>
        <w:t xml:space="preserve">- налоговые доходы </w:t>
      </w:r>
      <w:r w:rsidRPr="0016505D">
        <w:rPr>
          <w:lang w:val="ru-RU"/>
        </w:rPr>
        <w:t xml:space="preserve">на сумму </w:t>
      </w:r>
      <w:r w:rsidR="00303A1C">
        <w:rPr>
          <w:lang w:val="ru-RU"/>
        </w:rPr>
        <w:t>11 711,0</w:t>
      </w:r>
      <w:r w:rsidRPr="0016505D">
        <w:rPr>
          <w:lang w:val="ru-RU"/>
        </w:rPr>
        <w:t xml:space="preserve"> тыс. рублей или на </w:t>
      </w:r>
      <w:r>
        <w:rPr>
          <w:lang w:val="ru-RU"/>
        </w:rPr>
        <w:t>1</w:t>
      </w:r>
      <w:r w:rsidRPr="0016505D">
        <w:rPr>
          <w:lang w:val="ru-RU"/>
        </w:rPr>
        <w:t>,</w:t>
      </w:r>
      <w:r w:rsidR="00303A1C">
        <w:rPr>
          <w:lang w:val="ru-RU"/>
        </w:rPr>
        <w:t>2</w:t>
      </w:r>
      <w:r w:rsidRPr="0016505D">
        <w:rPr>
          <w:lang w:val="ru-RU"/>
        </w:rPr>
        <w:t>%;</w:t>
      </w:r>
    </w:p>
    <w:p w:rsidR="000E02AD" w:rsidRPr="00697081" w:rsidRDefault="000E02AD" w:rsidP="00697081">
      <w:pPr>
        <w:pStyle w:val="afc"/>
        <w:spacing w:line="283" w:lineRule="auto"/>
        <w:rPr>
          <w:lang w:val="ru-RU"/>
        </w:rPr>
      </w:pPr>
      <w:r>
        <w:rPr>
          <w:lang w:val="ru-RU"/>
        </w:rPr>
        <w:t xml:space="preserve">- неналоговые доходы </w:t>
      </w:r>
      <w:r w:rsidRPr="0016505D">
        <w:rPr>
          <w:lang w:val="ru-RU"/>
        </w:rPr>
        <w:t xml:space="preserve">на сумму </w:t>
      </w:r>
      <w:r w:rsidR="00303A1C">
        <w:rPr>
          <w:lang w:val="ru-RU"/>
        </w:rPr>
        <w:t>20 673,4</w:t>
      </w:r>
      <w:r w:rsidRPr="0016505D">
        <w:rPr>
          <w:lang w:val="ru-RU"/>
        </w:rPr>
        <w:t xml:space="preserve"> тыс. рублей или на </w:t>
      </w:r>
      <w:r w:rsidR="00303A1C">
        <w:rPr>
          <w:lang w:val="ru-RU"/>
        </w:rPr>
        <w:t>9,8</w:t>
      </w:r>
      <w:r w:rsidRPr="0016505D">
        <w:rPr>
          <w:lang w:val="ru-RU"/>
        </w:rPr>
        <w:t>%;</w:t>
      </w:r>
    </w:p>
    <w:p w:rsidR="002E5284" w:rsidRPr="0094697D" w:rsidRDefault="0016505D" w:rsidP="0016505D">
      <w:pPr>
        <w:pStyle w:val="afc"/>
        <w:spacing w:line="283" w:lineRule="auto"/>
        <w:rPr>
          <w:lang w:val="ru-RU"/>
        </w:rPr>
      </w:pPr>
      <w:r>
        <w:rPr>
          <w:lang w:val="ru-RU"/>
        </w:rPr>
        <w:t xml:space="preserve">- </w:t>
      </w:r>
      <w:r w:rsidR="002E5284">
        <w:rPr>
          <w:lang w:val="ru-RU"/>
        </w:rPr>
        <w:t xml:space="preserve">безвозмездные поступления на сумму </w:t>
      </w:r>
      <w:r w:rsidR="00303A1C">
        <w:rPr>
          <w:lang w:val="ru-RU"/>
        </w:rPr>
        <w:t>9 426,0</w:t>
      </w:r>
      <w:r w:rsidR="002E5284">
        <w:rPr>
          <w:lang w:val="ru-RU"/>
        </w:rPr>
        <w:t xml:space="preserve"> тыс. рублей или на </w:t>
      </w:r>
      <w:r w:rsidR="00303A1C">
        <w:rPr>
          <w:lang w:val="ru-RU"/>
        </w:rPr>
        <w:t>0,4</w:t>
      </w:r>
      <w:r w:rsidR="002E5284">
        <w:rPr>
          <w:lang w:val="ru-RU"/>
        </w:rPr>
        <w:t>%.</w:t>
      </w:r>
    </w:p>
    <w:p w:rsidR="003A0D48" w:rsidRDefault="003A0D48" w:rsidP="003A0D48">
      <w:pPr>
        <w:pStyle w:val="afc"/>
        <w:spacing w:line="283" w:lineRule="auto"/>
        <w:rPr>
          <w:lang w:val="ru-RU"/>
        </w:rPr>
      </w:pPr>
      <w:r w:rsidRPr="003A0D48">
        <w:rPr>
          <w:lang w:val="ru-RU"/>
        </w:rPr>
        <w:t>Проектом решения в плановом периоде на 2025 год предусмотрено увеличение общего объема доходной части бюджета на 533</w:t>
      </w:r>
      <w:r>
        <w:rPr>
          <w:lang w:val="en-US"/>
        </w:rPr>
        <w:t> </w:t>
      </w:r>
      <w:r>
        <w:rPr>
          <w:lang w:val="ru-RU"/>
        </w:rPr>
        <w:t xml:space="preserve">237,0 </w:t>
      </w:r>
      <w:r w:rsidRPr="003A0D48">
        <w:rPr>
          <w:lang w:val="ru-RU"/>
        </w:rPr>
        <w:t xml:space="preserve"> тыс. рублей и расходной части на </w:t>
      </w:r>
      <w:r>
        <w:rPr>
          <w:lang w:val="ru-RU"/>
        </w:rPr>
        <w:t xml:space="preserve">572 770,5 тыс. рублей; </w:t>
      </w:r>
      <w:r w:rsidRPr="003A0D48">
        <w:rPr>
          <w:lang w:val="ru-RU"/>
        </w:rPr>
        <w:t>на 202</w:t>
      </w:r>
      <w:r>
        <w:rPr>
          <w:lang w:val="ru-RU"/>
        </w:rPr>
        <w:t>6</w:t>
      </w:r>
      <w:r w:rsidRPr="003A0D48">
        <w:rPr>
          <w:lang w:val="ru-RU"/>
        </w:rPr>
        <w:t xml:space="preserve"> год предусмотрено увеличение общего объема доход</w:t>
      </w:r>
      <w:r>
        <w:rPr>
          <w:lang w:val="ru-RU"/>
        </w:rPr>
        <w:t>ов и расходов</w:t>
      </w:r>
      <w:r w:rsidRPr="003A0D48">
        <w:rPr>
          <w:lang w:val="ru-RU"/>
        </w:rPr>
        <w:t xml:space="preserve"> на </w:t>
      </w:r>
      <w:r>
        <w:rPr>
          <w:lang w:val="ru-RU"/>
        </w:rPr>
        <w:t xml:space="preserve">810 984,3 </w:t>
      </w:r>
      <w:r w:rsidRPr="003A0D48">
        <w:rPr>
          <w:lang w:val="ru-RU"/>
        </w:rPr>
        <w:t xml:space="preserve"> тыс. рублей</w:t>
      </w:r>
      <w:r>
        <w:rPr>
          <w:lang w:val="ru-RU"/>
        </w:rPr>
        <w:t>.</w:t>
      </w:r>
    </w:p>
    <w:p w:rsidR="00EF14A5" w:rsidRDefault="00EF14A5" w:rsidP="00EF14A5">
      <w:pPr>
        <w:pStyle w:val="1"/>
        <w:numPr>
          <w:ilvl w:val="0"/>
          <w:numId w:val="11"/>
        </w:numPr>
        <w:spacing w:before="0" w:line="283" w:lineRule="auto"/>
        <w:ind w:left="0" w:firstLine="709"/>
        <w:jc w:val="both"/>
        <w:rPr>
          <w:rFonts w:ascii="Times New Roman" w:eastAsia="Calibri" w:hAnsi="Times New Roman" w:cs="Times New Roman"/>
          <w:color w:val="auto"/>
          <w:sz w:val="28"/>
          <w:szCs w:val="28"/>
        </w:rPr>
      </w:pPr>
      <w:r w:rsidRPr="00EF14A5">
        <w:rPr>
          <w:rFonts w:ascii="Times New Roman" w:eastAsia="Calibri" w:hAnsi="Times New Roman" w:cs="Times New Roman"/>
          <w:color w:val="auto"/>
          <w:sz w:val="28"/>
          <w:szCs w:val="28"/>
        </w:rPr>
        <w:lastRenderedPageBreak/>
        <w:t xml:space="preserve">В связи с изменением основных характеристик бюджета округа в текущем году </w:t>
      </w:r>
      <w:r w:rsidR="003A0D48">
        <w:rPr>
          <w:rFonts w:ascii="Times New Roman" w:eastAsia="Calibri" w:hAnsi="Times New Roman" w:cs="Times New Roman"/>
          <w:color w:val="auto"/>
          <w:sz w:val="28"/>
          <w:szCs w:val="28"/>
        </w:rPr>
        <w:t xml:space="preserve">и плановом периоде </w:t>
      </w:r>
      <w:r w:rsidRPr="00EF14A5">
        <w:rPr>
          <w:rFonts w:ascii="Times New Roman" w:eastAsia="Calibri" w:hAnsi="Times New Roman" w:cs="Times New Roman"/>
          <w:color w:val="auto"/>
          <w:sz w:val="28"/>
          <w:szCs w:val="28"/>
        </w:rPr>
        <w:t>внесены соответствующие корректировки в приложение 2 «Источники финансирования дефицита бюджета округа на 2024 год» (пр</w:t>
      </w:r>
      <w:r w:rsidR="003A0D48">
        <w:rPr>
          <w:rFonts w:ascii="Times New Roman" w:eastAsia="Calibri" w:hAnsi="Times New Roman" w:cs="Times New Roman"/>
          <w:color w:val="auto"/>
          <w:sz w:val="28"/>
          <w:szCs w:val="28"/>
        </w:rPr>
        <w:t xml:space="preserve">иложение № 3 к проекту решения) и приложение 2.1 </w:t>
      </w:r>
      <w:r w:rsidR="003A0D48" w:rsidRPr="00EF14A5">
        <w:rPr>
          <w:rFonts w:ascii="Times New Roman" w:eastAsia="Calibri" w:hAnsi="Times New Roman" w:cs="Times New Roman"/>
          <w:color w:val="auto"/>
          <w:sz w:val="28"/>
          <w:szCs w:val="28"/>
        </w:rPr>
        <w:t>«Источники финансирования дефицита бюджета округа на 202</w:t>
      </w:r>
      <w:r w:rsidR="003A0D48">
        <w:rPr>
          <w:rFonts w:ascii="Times New Roman" w:eastAsia="Calibri" w:hAnsi="Times New Roman" w:cs="Times New Roman"/>
          <w:color w:val="auto"/>
          <w:sz w:val="28"/>
          <w:szCs w:val="28"/>
        </w:rPr>
        <w:t>5 и 2026</w:t>
      </w:r>
      <w:r w:rsidR="003A0D48" w:rsidRPr="00EF14A5">
        <w:rPr>
          <w:rFonts w:ascii="Times New Roman" w:eastAsia="Calibri" w:hAnsi="Times New Roman" w:cs="Times New Roman"/>
          <w:color w:val="auto"/>
          <w:sz w:val="28"/>
          <w:szCs w:val="28"/>
        </w:rPr>
        <w:t xml:space="preserve"> год</w:t>
      </w:r>
      <w:r w:rsidR="003A0D48">
        <w:rPr>
          <w:rFonts w:ascii="Times New Roman" w:eastAsia="Calibri" w:hAnsi="Times New Roman" w:cs="Times New Roman"/>
          <w:color w:val="auto"/>
          <w:sz w:val="28"/>
          <w:szCs w:val="28"/>
        </w:rPr>
        <w:t>ы</w:t>
      </w:r>
      <w:r w:rsidR="003A0D48" w:rsidRPr="00EF14A5">
        <w:rPr>
          <w:rFonts w:ascii="Times New Roman" w:eastAsia="Calibri" w:hAnsi="Times New Roman" w:cs="Times New Roman"/>
          <w:color w:val="auto"/>
          <w:sz w:val="28"/>
          <w:szCs w:val="28"/>
        </w:rPr>
        <w:t>» (пр</w:t>
      </w:r>
      <w:r w:rsidR="003A0D48">
        <w:rPr>
          <w:rFonts w:ascii="Times New Roman" w:eastAsia="Calibri" w:hAnsi="Times New Roman" w:cs="Times New Roman"/>
          <w:color w:val="auto"/>
          <w:sz w:val="28"/>
          <w:szCs w:val="28"/>
        </w:rPr>
        <w:t>иложение № 4 к проекту решения)</w:t>
      </w:r>
      <w:r w:rsidR="00D21DFB">
        <w:rPr>
          <w:rFonts w:ascii="Times New Roman" w:eastAsia="Calibri" w:hAnsi="Times New Roman" w:cs="Times New Roman"/>
          <w:color w:val="auto"/>
          <w:sz w:val="28"/>
          <w:szCs w:val="28"/>
        </w:rPr>
        <w:t>.</w:t>
      </w:r>
    </w:p>
    <w:p w:rsidR="00811B74" w:rsidRDefault="00D21DFB" w:rsidP="00D21DFB">
      <w:pPr>
        <w:spacing w:line="283" w:lineRule="auto"/>
        <w:ind w:firstLine="709"/>
        <w:jc w:val="both"/>
        <w:rPr>
          <w:rFonts w:eastAsia="Calibri"/>
          <w:sz w:val="28"/>
          <w:szCs w:val="28"/>
          <w:lang w:eastAsia="en-US"/>
        </w:rPr>
      </w:pPr>
      <w:r w:rsidRPr="00D21DFB">
        <w:rPr>
          <w:rFonts w:eastAsia="Calibri"/>
          <w:sz w:val="28"/>
          <w:szCs w:val="28"/>
          <w:lang w:eastAsia="en-US"/>
        </w:rPr>
        <w:t xml:space="preserve">При изменении основных характеристик бюджета дефицит в </w:t>
      </w:r>
      <w:r>
        <w:rPr>
          <w:rFonts w:eastAsia="Calibri"/>
          <w:sz w:val="28"/>
          <w:szCs w:val="28"/>
          <w:lang w:eastAsia="en-US"/>
        </w:rPr>
        <w:t>текущем году</w:t>
      </w:r>
      <w:r w:rsidRPr="00D21DFB">
        <w:rPr>
          <w:rFonts w:eastAsia="Calibri"/>
          <w:sz w:val="28"/>
          <w:szCs w:val="28"/>
          <w:lang w:eastAsia="en-US"/>
        </w:rPr>
        <w:t xml:space="preserve"> </w:t>
      </w:r>
      <w:r>
        <w:rPr>
          <w:rFonts w:eastAsia="Calibri"/>
          <w:sz w:val="28"/>
          <w:szCs w:val="28"/>
          <w:lang w:eastAsia="en-US"/>
        </w:rPr>
        <w:t>уменьшен</w:t>
      </w:r>
      <w:r w:rsidRPr="00D21DFB">
        <w:rPr>
          <w:rFonts w:eastAsia="Calibri"/>
          <w:sz w:val="28"/>
          <w:szCs w:val="28"/>
          <w:lang w:eastAsia="en-US"/>
        </w:rPr>
        <w:t xml:space="preserve"> на </w:t>
      </w:r>
      <w:r>
        <w:rPr>
          <w:rFonts w:eastAsia="Calibri"/>
          <w:sz w:val="28"/>
          <w:szCs w:val="28"/>
          <w:lang w:eastAsia="en-US"/>
        </w:rPr>
        <w:t>76 855,8</w:t>
      </w:r>
      <w:r w:rsidRPr="00D21DFB">
        <w:rPr>
          <w:rFonts w:eastAsia="Calibri"/>
          <w:sz w:val="28"/>
          <w:szCs w:val="28"/>
          <w:lang w:eastAsia="en-US"/>
        </w:rPr>
        <w:t xml:space="preserve"> тыс. рублей</w:t>
      </w:r>
      <w:r>
        <w:rPr>
          <w:rFonts w:eastAsia="Calibri"/>
          <w:sz w:val="28"/>
          <w:szCs w:val="28"/>
          <w:lang w:eastAsia="en-US"/>
        </w:rPr>
        <w:t xml:space="preserve"> или на 40,5%</w:t>
      </w:r>
      <w:r w:rsidRPr="00D21DFB">
        <w:rPr>
          <w:rFonts w:eastAsia="Calibri"/>
          <w:sz w:val="28"/>
          <w:szCs w:val="28"/>
          <w:lang w:eastAsia="en-US"/>
        </w:rPr>
        <w:t xml:space="preserve">, </w:t>
      </w:r>
      <w:r>
        <w:rPr>
          <w:rFonts w:eastAsia="Calibri"/>
          <w:sz w:val="28"/>
          <w:szCs w:val="28"/>
          <w:lang w:eastAsia="en-US"/>
        </w:rPr>
        <w:t xml:space="preserve">в 2025 году </w:t>
      </w:r>
      <w:r w:rsidR="00811B74">
        <w:rPr>
          <w:rFonts w:eastAsia="Calibri"/>
          <w:sz w:val="28"/>
          <w:szCs w:val="28"/>
          <w:lang w:eastAsia="en-US"/>
        </w:rPr>
        <w:t>увеличен на 39 533,6 тыс. рублей или на 33,5%, н</w:t>
      </w:r>
      <w:r w:rsidRPr="00D21DFB">
        <w:rPr>
          <w:rFonts w:eastAsia="Calibri"/>
          <w:sz w:val="28"/>
          <w:szCs w:val="28"/>
          <w:lang w:eastAsia="en-US"/>
        </w:rPr>
        <w:t xml:space="preserve">а 2026 год остается неизменным. </w:t>
      </w:r>
    </w:p>
    <w:p w:rsidR="00D21DFB" w:rsidRPr="00D21DFB" w:rsidRDefault="00D21DFB" w:rsidP="00D21DFB">
      <w:pPr>
        <w:spacing w:line="283" w:lineRule="auto"/>
        <w:ind w:firstLine="709"/>
        <w:jc w:val="both"/>
        <w:rPr>
          <w:rFonts w:eastAsia="Calibri"/>
          <w:sz w:val="28"/>
          <w:szCs w:val="28"/>
          <w:lang w:eastAsia="en-US"/>
        </w:rPr>
      </w:pPr>
      <w:r w:rsidRPr="00D21DFB">
        <w:rPr>
          <w:rFonts w:eastAsia="Calibri"/>
          <w:sz w:val="28"/>
          <w:szCs w:val="28"/>
          <w:lang w:eastAsia="en-US"/>
        </w:rPr>
        <w:t xml:space="preserve">Составит: </w:t>
      </w:r>
      <w:r w:rsidR="00811B74">
        <w:rPr>
          <w:rFonts w:eastAsia="Calibri"/>
          <w:sz w:val="28"/>
          <w:szCs w:val="28"/>
          <w:lang w:eastAsia="en-US"/>
        </w:rPr>
        <w:t xml:space="preserve">в 2024 году 113 055,8 тыс. рублей или 9,0%, </w:t>
      </w:r>
      <w:r w:rsidRPr="00D21DFB">
        <w:rPr>
          <w:rFonts w:eastAsia="Calibri"/>
          <w:sz w:val="28"/>
          <w:szCs w:val="28"/>
          <w:lang w:eastAsia="en-US"/>
        </w:rPr>
        <w:t xml:space="preserve">в 2025 году </w:t>
      </w:r>
      <w:r w:rsidR="00811B74">
        <w:rPr>
          <w:rFonts w:eastAsia="Calibri"/>
          <w:sz w:val="28"/>
          <w:szCs w:val="28"/>
          <w:lang w:eastAsia="en-US"/>
        </w:rPr>
        <w:t>157 466,8</w:t>
      </w:r>
      <w:r w:rsidRPr="00D21DFB">
        <w:rPr>
          <w:rFonts w:eastAsia="Calibri"/>
          <w:sz w:val="28"/>
          <w:szCs w:val="28"/>
          <w:lang w:eastAsia="en-US"/>
        </w:rPr>
        <w:t xml:space="preserve"> тыс. рублей или </w:t>
      </w:r>
      <w:r w:rsidR="00555A77">
        <w:rPr>
          <w:rFonts w:eastAsia="Calibri"/>
          <w:sz w:val="28"/>
          <w:szCs w:val="28"/>
          <w:lang w:eastAsia="en-US"/>
        </w:rPr>
        <w:t>10</w:t>
      </w:r>
      <w:r w:rsidRPr="00D21DFB">
        <w:rPr>
          <w:rFonts w:eastAsia="Calibri"/>
          <w:sz w:val="28"/>
          <w:szCs w:val="28"/>
          <w:lang w:eastAsia="en-US"/>
        </w:rPr>
        <w:t xml:space="preserve">,0 %, в 2026 году 49 169,4 тыс. рублей или </w:t>
      </w:r>
      <w:r w:rsidR="00555A77">
        <w:rPr>
          <w:rFonts w:eastAsia="Calibri"/>
          <w:sz w:val="28"/>
          <w:szCs w:val="28"/>
          <w:lang w:eastAsia="en-US"/>
        </w:rPr>
        <w:t>4,0</w:t>
      </w:r>
      <w:r w:rsidRPr="00D21DFB">
        <w:rPr>
          <w:rFonts w:eastAsia="Calibri"/>
          <w:sz w:val="28"/>
          <w:szCs w:val="28"/>
          <w:lang w:eastAsia="en-US"/>
        </w:rPr>
        <w:t xml:space="preserve"> % утвержденного общего годового объема доходов бюджета без учета утвержденного объема безвозмездных поступлений.</w:t>
      </w:r>
    </w:p>
    <w:p w:rsidR="00EF14A5" w:rsidRPr="00EF14A5" w:rsidRDefault="00EF14A5" w:rsidP="00EF14A5">
      <w:pPr>
        <w:spacing w:line="283" w:lineRule="auto"/>
        <w:ind w:firstLine="709"/>
        <w:jc w:val="both"/>
        <w:rPr>
          <w:rFonts w:eastAsia="Calibri"/>
          <w:sz w:val="28"/>
          <w:szCs w:val="28"/>
        </w:rPr>
      </w:pPr>
      <w:r w:rsidRPr="00EF14A5">
        <w:rPr>
          <w:rFonts w:eastAsia="Calibri"/>
          <w:sz w:val="28"/>
          <w:szCs w:val="28"/>
        </w:rPr>
        <w:t>Утверждаемые проект</w:t>
      </w:r>
      <w:r w:rsidR="00D21DFB">
        <w:rPr>
          <w:rFonts w:eastAsia="Calibri"/>
          <w:sz w:val="28"/>
          <w:szCs w:val="28"/>
        </w:rPr>
        <w:t>ом</w:t>
      </w:r>
      <w:r w:rsidRPr="00EF14A5">
        <w:rPr>
          <w:rFonts w:eastAsia="Calibri"/>
          <w:sz w:val="28"/>
          <w:szCs w:val="28"/>
        </w:rPr>
        <w:t xml:space="preserve"> решения </w:t>
      </w:r>
      <w:r w:rsidRPr="00EF14A5">
        <w:rPr>
          <w:rFonts w:eastAsia="Calibri"/>
          <w:b/>
          <w:sz w:val="28"/>
          <w:szCs w:val="28"/>
        </w:rPr>
        <w:t>источники финансирования дефицита бюджета округа</w:t>
      </w:r>
      <w:r w:rsidRPr="00EF14A5">
        <w:rPr>
          <w:rFonts w:eastAsia="Calibri"/>
          <w:sz w:val="28"/>
          <w:szCs w:val="28"/>
        </w:rPr>
        <w:t xml:space="preserve"> на 2024 год </w:t>
      </w:r>
      <w:r w:rsidR="00D21DFB">
        <w:rPr>
          <w:rFonts w:eastAsia="Calibri"/>
          <w:sz w:val="28"/>
          <w:szCs w:val="28"/>
        </w:rPr>
        <w:t xml:space="preserve">и плановый период 2025 и 2026 годы </w:t>
      </w:r>
      <w:r w:rsidRPr="00EF14A5">
        <w:rPr>
          <w:rFonts w:eastAsia="Calibri"/>
          <w:sz w:val="28"/>
          <w:szCs w:val="28"/>
        </w:rPr>
        <w:t>(приложени</w:t>
      </w:r>
      <w:r w:rsidR="00D21DFB">
        <w:rPr>
          <w:rFonts w:eastAsia="Calibri"/>
          <w:sz w:val="28"/>
          <w:szCs w:val="28"/>
        </w:rPr>
        <w:t>я</w:t>
      </w:r>
      <w:r w:rsidRPr="00EF14A5">
        <w:rPr>
          <w:rFonts w:eastAsia="Calibri"/>
          <w:sz w:val="28"/>
          <w:szCs w:val="28"/>
        </w:rPr>
        <w:t xml:space="preserve"> № </w:t>
      </w:r>
      <w:r w:rsidR="00D21DFB">
        <w:rPr>
          <w:rFonts w:eastAsia="Calibri"/>
          <w:sz w:val="28"/>
          <w:szCs w:val="28"/>
        </w:rPr>
        <w:t xml:space="preserve">3 и № 4 соответственно к проекту решения) </w:t>
      </w:r>
      <w:r w:rsidRPr="00EF14A5">
        <w:rPr>
          <w:rFonts w:eastAsia="Calibri"/>
          <w:sz w:val="28"/>
          <w:szCs w:val="28"/>
        </w:rPr>
        <w:t>сформированы в составе, соответствующем источникам, предусмотренным статьей 96 Бюджетного кодекса РФ для местных бюджетов. Общий объем</w:t>
      </w:r>
      <w:r w:rsidR="00997A24">
        <w:rPr>
          <w:rFonts w:eastAsia="Calibri"/>
          <w:sz w:val="28"/>
          <w:szCs w:val="28"/>
        </w:rPr>
        <w:t>,</w:t>
      </w:r>
      <w:r w:rsidRPr="00EF14A5">
        <w:rPr>
          <w:rFonts w:eastAsia="Calibri"/>
          <w:sz w:val="28"/>
          <w:szCs w:val="28"/>
        </w:rPr>
        <w:t xml:space="preserve"> предусмотренных проектом решения</w:t>
      </w:r>
      <w:r w:rsidR="00997A24">
        <w:rPr>
          <w:rFonts w:eastAsia="Calibri"/>
          <w:sz w:val="28"/>
          <w:szCs w:val="28"/>
        </w:rPr>
        <w:t>,</w:t>
      </w:r>
      <w:r w:rsidRPr="00EF14A5">
        <w:rPr>
          <w:rFonts w:eastAsia="Calibri"/>
          <w:sz w:val="28"/>
          <w:szCs w:val="28"/>
        </w:rPr>
        <w:t xml:space="preserve"> источников финансирования дефицита бюджета округа соответствует прогнозируемому объему дефицита.</w:t>
      </w:r>
    </w:p>
    <w:p w:rsidR="00286381" w:rsidRPr="00315CB2" w:rsidRDefault="00025F47" w:rsidP="00025F47">
      <w:pPr>
        <w:pStyle w:val="1"/>
        <w:numPr>
          <w:ilvl w:val="0"/>
          <w:numId w:val="11"/>
        </w:numPr>
        <w:spacing w:before="0" w:line="283" w:lineRule="auto"/>
        <w:ind w:left="0" w:firstLine="709"/>
        <w:jc w:val="both"/>
        <w:rPr>
          <w:rFonts w:ascii="Times New Roman" w:eastAsia="Calibri" w:hAnsi="Times New Roman" w:cs="Times New Roman"/>
          <w:color w:val="auto"/>
          <w:sz w:val="28"/>
          <w:szCs w:val="28"/>
        </w:rPr>
      </w:pPr>
      <w:r w:rsidRPr="00315CB2">
        <w:rPr>
          <w:rFonts w:ascii="Times New Roman" w:eastAsia="Calibri" w:hAnsi="Times New Roman" w:cs="Times New Roman"/>
          <w:b/>
          <w:color w:val="auto"/>
          <w:sz w:val="28"/>
          <w:szCs w:val="28"/>
        </w:rPr>
        <w:t>Верхний предел муниципального внутреннего долга по долговым обязательствам</w:t>
      </w:r>
      <w:r w:rsidRPr="00315CB2">
        <w:rPr>
          <w:rFonts w:ascii="Times New Roman" w:eastAsia="Calibri" w:hAnsi="Times New Roman" w:cs="Times New Roman"/>
          <w:color w:val="auto"/>
          <w:sz w:val="28"/>
          <w:szCs w:val="28"/>
        </w:rPr>
        <w:t xml:space="preserve"> Печенгского муниципального округа</w:t>
      </w:r>
      <w:r w:rsidR="00286381" w:rsidRPr="00315CB2">
        <w:rPr>
          <w:rFonts w:ascii="Times New Roman" w:eastAsia="Calibri" w:hAnsi="Times New Roman" w:cs="Times New Roman"/>
          <w:color w:val="auto"/>
          <w:sz w:val="28"/>
          <w:szCs w:val="28"/>
        </w:rPr>
        <w:t xml:space="preserve"> уменьшен на 76 855,8 тыс. рублей и составит:</w:t>
      </w:r>
    </w:p>
    <w:p w:rsidR="00286381" w:rsidRDefault="00286381" w:rsidP="00286381">
      <w:pPr>
        <w:spacing w:line="283" w:lineRule="auto"/>
        <w:ind w:firstLine="709"/>
        <w:jc w:val="both"/>
        <w:rPr>
          <w:rFonts w:eastAsia="Calibri"/>
          <w:sz w:val="28"/>
          <w:szCs w:val="28"/>
          <w:lang w:eastAsia="en-US"/>
        </w:rPr>
      </w:pPr>
      <w:r w:rsidRPr="00286381">
        <w:rPr>
          <w:rFonts w:eastAsia="Calibri"/>
          <w:sz w:val="28"/>
          <w:szCs w:val="28"/>
          <w:lang w:eastAsia="en-US"/>
        </w:rPr>
        <w:t xml:space="preserve">- </w:t>
      </w:r>
      <w:r w:rsidR="00025F47" w:rsidRPr="00286381">
        <w:rPr>
          <w:rFonts w:eastAsia="Calibri"/>
          <w:sz w:val="28"/>
          <w:szCs w:val="28"/>
          <w:lang w:eastAsia="en-US"/>
        </w:rPr>
        <w:t xml:space="preserve">на 1 января 2025 года </w:t>
      </w:r>
      <w:r w:rsidR="00315CB2">
        <w:rPr>
          <w:rFonts w:eastAsia="Calibri"/>
          <w:sz w:val="28"/>
          <w:szCs w:val="28"/>
          <w:lang w:eastAsia="en-US"/>
        </w:rPr>
        <w:t>90 994,2 тыс. рублей;</w:t>
      </w:r>
    </w:p>
    <w:p w:rsidR="00286381" w:rsidRDefault="00286381" w:rsidP="00286381">
      <w:pPr>
        <w:spacing w:line="283" w:lineRule="auto"/>
        <w:ind w:firstLine="709"/>
        <w:jc w:val="both"/>
        <w:rPr>
          <w:rFonts w:eastAsia="Calibri"/>
          <w:sz w:val="28"/>
          <w:szCs w:val="28"/>
          <w:lang w:eastAsia="en-US"/>
        </w:rPr>
      </w:pPr>
      <w:r>
        <w:rPr>
          <w:rFonts w:eastAsia="Calibri"/>
          <w:sz w:val="28"/>
          <w:szCs w:val="28"/>
          <w:lang w:eastAsia="en-US"/>
        </w:rPr>
        <w:t xml:space="preserve">- </w:t>
      </w:r>
      <w:r w:rsidRPr="00371BFC">
        <w:rPr>
          <w:rFonts w:eastAsia="Calibri"/>
          <w:sz w:val="28"/>
          <w:szCs w:val="28"/>
          <w:lang w:eastAsia="en-US"/>
        </w:rPr>
        <w:t xml:space="preserve">на 1 января 2026 года </w:t>
      </w:r>
      <w:r w:rsidR="00315CB2">
        <w:rPr>
          <w:rFonts w:eastAsia="Calibri"/>
          <w:sz w:val="28"/>
          <w:szCs w:val="28"/>
          <w:lang w:eastAsia="en-US"/>
        </w:rPr>
        <w:t>208 927,4</w:t>
      </w:r>
      <w:r w:rsidRPr="00371BFC">
        <w:rPr>
          <w:rFonts w:eastAsia="Calibri"/>
          <w:sz w:val="28"/>
          <w:szCs w:val="28"/>
          <w:lang w:eastAsia="en-US"/>
        </w:rPr>
        <w:t xml:space="preserve"> тыс. рублей</w:t>
      </w:r>
      <w:r>
        <w:rPr>
          <w:rFonts w:eastAsia="Calibri"/>
          <w:sz w:val="28"/>
          <w:szCs w:val="28"/>
          <w:lang w:eastAsia="en-US"/>
        </w:rPr>
        <w:t>;</w:t>
      </w:r>
    </w:p>
    <w:p w:rsidR="00371BFC" w:rsidRPr="00371BFC" w:rsidRDefault="00371BFC" w:rsidP="00371BFC">
      <w:pPr>
        <w:spacing w:line="283" w:lineRule="auto"/>
        <w:ind w:firstLine="709"/>
        <w:jc w:val="both"/>
        <w:rPr>
          <w:rFonts w:eastAsia="Calibri"/>
          <w:sz w:val="28"/>
          <w:szCs w:val="28"/>
          <w:lang w:eastAsia="en-US"/>
        </w:rPr>
      </w:pPr>
      <w:r w:rsidRPr="00371BFC">
        <w:rPr>
          <w:rFonts w:eastAsia="Calibri"/>
          <w:sz w:val="28"/>
          <w:szCs w:val="28"/>
          <w:lang w:eastAsia="en-US"/>
        </w:rPr>
        <w:t xml:space="preserve">- на 1 января 2027 года </w:t>
      </w:r>
      <w:r w:rsidR="00315CB2">
        <w:rPr>
          <w:rFonts w:eastAsia="Calibri"/>
          <w:sz w:val="28"/>
          <w:szCs w:val="28"/>
          <w:lang w:eastAsia="en-US"/>
        </w:rPr>
        <w:t>258 096,8</w:t>
      </w:r>
      <w:r w:rsidRPr="00371BFC">
        <w:rPr>
          <w:rFonts w:eastAsia="Calibri"/>
          <w:sz w:val="28"/>
          <w:szCs w:val="28"/>
          <w:lang w:eastAsia="en-US"/>
        </w:rPr>
        <w:t xml:space="preserve"> тыс. рублей.</w:t>
      </w:r>
    </w:p>
    <w:p w:rsidR="00371BFC" w:rsidRPr="00371BFC" w:rsidRDefault="00371BFC" w:rsidP="00371BFC">
      <w:pPr>
        <w:spacing w:line="283" w:lineRule="auto"/>
        <w:ind w:firstLine="709"/>
        <w:jc w:val="both"/>
        <w:rPr>
          <w:rFonts w:eastAsia="Calibri"/>
          <w:sz w:val="28"/>
          <w:szCs w:val="28"/>
          <w:lang w:eastAsia="en-US"/>
        </w:rPr>
      </w:pPr>
      <w:r w:rsidRPr="00371BFC">
        <w:rPr>
          <w:rFonts w:eastAsia="Calibri"/>
          <w:sz w:val="28"/>
          <w:szCs w:val="28"/>
          <w:lang w:eastAsia="en-US"/>
        </w:rPr>
        <w:t xml:space="preserve">Изменение верхнего предела муниципального долга в плановом периоде обусловлено </w:t>
      </w:r>
      <w:r w:rsidR="00632E70">
        <w:rPr>
          <w:rFonts w:eastAsia="Calibri"/>
          <w:sz w:val="28"/>
          <w:szCs w:val="28"/>
          <w:lang w:eastAsia="en-US"/>
        </w:rPr>
        <w:t xml:space="preserve">уменьшением </w:t>
      </w:r>
      <w:r w:rsidRPr="00371BFC">
        <w:rPr>
          <w:rFonts w:eastAsia="Calibri"/>
          <w:sz w:val="28"/>
          <w:szCs w:val="28"/>
          <w:lang w:eastAsia="en-US"/>
        </w:rPr>
        <w:t>объема получения кредитов от кредитных организаций бюджетами муниципальных округов в валюте Российской Федерации.</w:t>
      </w:r>
    </w:p>
    <w:p w:rsidR="00371BFC" w:rsidRPr="00371BFC" w:rsidRDefault="00371BFC" w:rsidP="00371BFC">
      <w:pPr>
        <w:spacing w:line="283" w:lineRule="auto"/>
        <w:ind w:firstLine="709"/>
        <w:jc w:val="both"/>
        <w:rPr>
          <w:rFonts w:eastAsia="Calibri"/>
          <w:sz w:val="28"/>
          <w:szCs w:val="28"/>
          <w:lang w:eastAsia="en-US"/>
        </w:rPr>
      </w:pPr>
      <w:r w:rsidRPr="00371BFC">
        <w:rPr>
          <w:rFonts w:eastAsia="Calibri"/>
          <w:sz w:val="28"/>
          <w:szCs w:val="28"/>
          <w:lang w:eastAsia="en-US"/>
        </w:rPr>
        <w:t xml:space="preserve">Верхний предел муниципального внутреннего долга по долговым обязательствам Печенгского муниципального округа в текущем году и плановом периоде соответствует нормам статьи 107 Бюджетного кодекса Российской Федерации. </w:t>
      </w:r>
    </w:p>
    <w:p w:rsidR="00371BFC" w:rsidRDefault="00371BFC" w:rsidP="00371BFC">
      <w:pPr>
        <w:spacing w:line="283" w:lineRule="auto"/>
        <w:ind w:firstLine="709"/>
        <w:jc w:val="both"/>
        <w:rPr>
          <w:rFonts w:eastAsia="Calibri"/>
          <w:sz w:val="28"/>
          <w:szCs w:val="28"/>
          <w:lang w:eastAsia="en-US"/>
        </w:rPr>
      </w:pPr>
      <w:r w:rsidRPr="00371BFC">
        <w:rPr>
          <w:rFonts w:eastAsia="Calibri"/>
          <w:sz w:val="28"/>
          <w:szCs w:val="28"/>
          <w:lang w:eastAsia="en-US"/>
        </w:rPr>
        <w:t>Верхний предел долга по муниципальным гарантиям в валюте Российской Федерации в 2024 году и плановом периоде остается неизменным.</w:t>
      </w:r>
    </w:p>
    <w:p w:rsidR="00F83B92" w:rsidRPr="00371BFC" w:rsidRDefault="00F83B92" w:rsidP="00371BFC">
      <w:pPr>
        <w:spacing w:line="283" w:lineRule="auto"/>
        <w:ind w:firstLine="709"/>
        <w:jc w:val="both"/>
        <w:rPr>
          <w:rFonts w:eastAsia="Calibri"/>
          <w:sz w:val="28"/>
          <w:szCs w:val="28"/>
          <w:lang w:eastAsia="en-US"/>
        </w:rPr>
      </w:pPr>
      <w:r w:rsidRPr="00F83B92">
        <w:rPr>
          <w:rFonts w:eastAsia="Calibri"/>
          <w:sz w:val="28"/>
          <w:szCs w:val="28"/>
          <w:lang w:eastAsia="en-US"/>
        </w:rPr>
        <w:t>При изменении общей суммы доходов и расходов в плановом периоде объем условно утвержденных расходов составит в 2025 году 2,5%, в 202</w:t>
      </w:r>
      <w:r w:rsidR="00B21D15">
        <w:rPr>
          <w:rFonts w:eastAsia="Calibri"/>
          <w:sz w:val="28"/>
          <w:szCs w:val="28"/>
          <w:lang w:eastAsia="en-US"/>
        </w:rPr>
        <w:t>6</w:t>
      </w:r>
      <w:r w:rsidRPr="00F83B92">
        <w:rPr>
          <w:rFonts w:eastAsia="Calibri"/>
          <w:sz w:val="28"/>
          <w:szCs w:val="28"/>
          <w:lang w:eastAsia="en-US"/>
        </w:rPr>
        <w:t xml:space="preserve"> году </w:t>
      </w:r>
      <w:r>
        <w:rPr>
          <w:rFonts w:eastAsia="Calibri"/>
          <w:sz w:val="28"/>
          <w:szCs w:val="28"/>
          <w:lang w:eastAsia="en-US"/>
        </w:rPr>
        <w:t>5,</w:t>
      </w:r>
      <w:r w:rsidR="00B21D15">
        <w:rPr>
          <w:rFonts w:eastAsia="Calibri"/>
          <w:sz w:val="28"/>
          <w:szCs w:val="28"/>
          <w:lang w:eastAsia="en-US"/>
        </w:rPr>
        <w:t>3</w:t>
      </w:r>
      <w:r w:rsidRPr="00F83B92">
        <w:rPr>
          <w:rFonts w:eastAsia="Calibri"/>
          <w:sz w:val="28"/>
          <w:szCs w:val="28"/>
          <w:lang w:eastAsia="en-US"/>
        </w:rPr>
        <w:t xml:space="preserve">% общего объема расходов бюджета (без учета расходов за счет межбюджетных трансфертов из областного бюджета, имеющих целевое </w:t>
      </w:r>
      <w:r w:rsidRPr="00F83B92">
        <w:rPr>
          <w:rFonts w:eastAsia="Calibri"/>
          <w:sz w:val="28"/>
          <w:szCs w:val="28"/>
          <w:lang w:eastAsia="en-US"/>
        </w:rPr>
        <w:lastRenderedPageBreak/>
        <w:t>назначение), что соответствует нормам, установленным статьей 184.1 Бюджетного кодекса Российской Федерации.</w:t>
      </w:r>
    </w:p>
    <w:p w:rsidR="00AC4119" w:rsidRDefault="00830670" w:rsidP="00F83B92">
      <w:pPr>
        <w:pStyle w:val="1"/>
        <w:numPr>
          <w:ilvl w:val="0"/>
          <w:numId w:val="11"/>
        </w:numPr>
        <w:spacing w:before="0" w:line="283" w:lineRule="auto"/>
        <w:ind w:left="0" w:firstLine="709"/>
        <w:jc w:val="both"/>
        <w:rPr>
          <w:rFonts w:ascii="Times New Roman" w:eastAsia="Calibri" w:hAnsi="Times New Roman" w:cs="Times New Roman"/>
          <w:color w:val="auto"/>
          <w:sz w:val="28"/>
          <w:szCs w:val="28"/>
        </w:rPr>
      </w:pPr>
      <w:r w:rsidRPr="00EF552F">
        <w:rPr>
          <w:rFonts w:ascii="Times New Roman" w:eastAsia="Calibri" w:hAnsi="Times New Roman" w:cs="Times New Roman"/>
          <w:color w:val="auto"/>
          <w:sz w:val="28"/>
          <w:szCs w:val="28"/>
        </w:rPr>
        <w:t>Пунктом 1.</w:t>
      </w:r>
      <w:r w:rsidR="00AC4119">
        <w:rPr>
          <w:rFonts w:ascii="Times New Roman" w:eastAsia="Calibri" w:hAnsi="Times New Roman" w:cs="Times New Roman"/>
          <w:color w:val="auto"/>
          <w:sz w:val="28"/>
          <w:szCs w:val="28"/>
        </w:rPr>
        <w:t>3</w:t>
      </w:r>
      <w:r w:rsidRPr="00EF552F">
        <w:rPr>
          <w:rFonts w:ascii="Times New Roman" w:eastAsia="Calibri" w:hAnsi="Times New Roman" w:cs="Times New Roman"/>
          <w:color w:val="auto"/>
          <w:sz w:val="28"/>
          <w:szCs w:val="28"/>
        </w:rPr>
        <w:t xml:space="preserve"> п</w:t>
      </w:r>
      <w:r w:rsidR="00823064" w:rsidRPr="00EF552F">
        <w:rPr>
          <w:rFonts w:ascii="Times New Roman" w:eastAsia="Calibri" w:hAnsi="Times New Roman" w:cs="Times New Roman"/>
          <w:color w:val="auto"/>
          <w:sz w:val="28"/>
          <w:szCs w:val="28"/>
        </w:rPr>
        <w:t>роект</w:t>
      </w:r>
      <w:r w:rsidRPr="00EF552F">
        <w:rPr>
          <w:rFonts w:ascii="Times New Roman" w:eastAsia="Calibri" w:hAnsi="Times New Roman" w:cs="Times New Roman"/>
          <w:color w:val="auto"/>
          <w:sz w:val="28"/>
          <w:szCs w:val="28"/>
        </w:rPr>
        <w:t>а</w:t>
      </w:r>
      <w:r w:rsidR="00823064" w:rsidRPr="00EF552F">
        <w:rPr>
          <w:rFonts w:ascii="Times New Roman" w:eastAsia="Calibri" w:hAnsi="Times New Roman" w:cs="Times New Roman"/>
          <w:color w:val="auto"/>
          <w:sz w:val="28"/>
          <w:szCs w:val="28"/>
        </w:rPr>
        <w:t xml:space="preserve"> решения предлагается внести изменения в </w:t>
      </w:r>
      <w:r w:rsidR="00AC4119">
        <w:rPr>
          <w:rFonts w:ascii="Times New Roman" w:eastAsia="Calibri" w:hAnsi="Times New Roman" w:cs="Times New Roman"/>
          <w:color w:val="auto"/>
          <w:sz w:val="28"/>
          <w:szCs w:val="28"/>
        </w:rPr>
        <w:t>пункт 1 статьи  5</w:t>
      </w:r>
      <w:r w:rsidR="00E66FD8" w:rsidRPr="00EF552F">
        <w:rPr>
          <w:rFonts w:ascii="Times New Roman" w:eastAsia="Calibri" w:hAnsi="Times New Roman" w:cs="Times New Roman"/>
          <w:b/>
          <w:color w:val="auto"/>
          <w:sz w:val="28"/>
          <w:szCs w:val="28"/>
        </w:rPr>
        <w:t xml:space="preserve"> «</w:t>
      </w:r>
      <w:r w:rsidR="00AC4119" w:rsidRPr="00AC4119">
        <w:rPr>
          <w:rFonts w:ascii="Times New Roman" w:eastAsia="Calibri" w:hAnsi="Times New Roman" w:cs="Times New Roman"/>
          <w:b/>
          <w:color w:val="auto"/>
          <w:sz w:val="28"/>
          <w:szCs w:val="28"/>
        </w:rPr>
        <w:t>Бюджетные ассигнования бюджета округа</w:t>
      </w:r>
      <w:r w:rsidR="00E66FD8" w:rsidRPr="00EF552F">
        <w:rPr>
          <w:rFonts w:ascii="Times New Roman" w:eastAsia="Calibri" w:hAnsi="Times New Roman" w:cs="Times New Roman"/>
          <w:b/>
          <w:color w:val="auto"/>
          <w:sz w:val="28"/>
          <w:szCs w:val="28"/>
        </w:rPr>
        <w:t xml:space="preserve">» </w:t>
      </w:r>
      <w:r w:rsidR="00E66FD8" w:rsidRPr="00EF552F">
        <w:rPr>
          <w:rFonts w:ascii="Times New Roman" w:eastAsia="Calibri" w:hAnsi="Times New Roman" w:cs="Times New Roman"/>
          <w:color w:val="auto"/>
          <w:sz w:val="28"/>
          <w:szCs w:val="28"/>
        </w:rPr>
        <w:t>решения о бюджете</w:t>
      </w:r>
      <w:r w:rsidR="00E2626A" w:rsidRPr="00EF552F">
        <w:rPr>
          <w:rFonts w:ascii="Times New Roman" w:eastAsia="Calibri" w:hAnsi="Times New Roman" w:cs="Times New Roman"/>
          <w:color w:val="auto"/>
          <w:sz w:val="28"/>
          <w:szCs w:val="28"/>
        </w:rPr>
        <w:t xml:space="preserve"> в части </w:t>
      </w:r>
      <w:r w:rsidR="00F83B92">
        <w:rPr>
          <w:rFonts w:ascii="Times New Roman" w:eastAsia="Calibri" w:hAnsi="Times New Roman" w:cs="Times New Roman"/>
          <w:color w:val="auto"/>
          <w:sz w:val="28"/>
          <w:szCs w:val="28"/>
        </w:rPr>
        <w:t xml:space="preserve">изменения объема </w:t>
      </w:r>
      <w:r w:rsidR="00F83B92" w:rsidRPr="00F83B92">
        <w:rPr>
          <w:rFonts w:ascii="Times New Roman" w:eastAsia="Calibri" w:hAnsi="Times New Roman" w:cs="Times New Roman"/>
          <w:color w:val="auto"/>
          <w:sz w:val="28"/>
          <w:szCs w:val="28"/>
        </w:rPr>
        <w:t>бюджетных ассигнований, направляемых на исполнение публичных нормативных обязательств</w:t>
      </w:r>
      <w:r w:rsidR="00F83B92">
        <w:rPr>
          <w:rFonts w:ascii="Times New Roman" w:eastAsia="Calibri" w:hAnsi="Times New Roman" w:cs="Times New Roman"/>
          <w:color w:val="auto"/>
          <w:sz w:val="28"/>
          <w:szCs w:val="28"/>
        </w:rPr>
        <w:t>.</w:t>
      </w:r>
    </w:p>
    <w:p w:rsidR="00AC4119" w:rsidRDefault="00121C4D" w:rsidP="00121C4D">
      <w:pPr>
        <w:spacing w:line="283" w:lineRule="auto"/>
        <w:ind w:firstLine="709"/>
        <w:jc w:val="both"/>
        <w:rPr>
          <w:rFonts w:eastAsia="Calibri"/>
          <w:sz w:val="28"/>
          <w:szCs w:val="28"/>
          <w:lang w:eastAsia="en-US"/>
        </w:rPr>
      </w:pPr>
      <w:r>
        <w:rPr>
          <w:rFonts w:eastAsia="Calibri"/>
          <w:sz w:val="28"/>
          <w:szCs w:val="28"/>
          <w:lang w:eastAsia="en-US"/>
        </w:rPr>
        <w:t>П</w:t>
      </w:r>
      <w:r w:rsidR="00F83B92" w:rsidRPr="00F83B92">
        <w:rPr>
          <w:rFonts w:eastAsia="Calibri"/>
          <w:sz w:val="28"/>
          <w:szCs w:val="28"/>
          <w:lang w:eastAsia="en-US"/>
        </w:rPr>
        <w:t>роект</w:t>
      </w:r>
      <w:r>
        <w:rPr>
          <w:rFonts w:eastAsia="Calibri"/>
          <w:sz w:val="28"/>
          <w:szCs w:val="28"/>
          <w:lang w:eastAsia="en-US"/>
        </w:rPr>
        <w:t>ом</w:t>
      </w:r>
      <w:r w:rsidR="00F83B92" w:rsidRPr="00F83B92">
        <w:rPr>
          <w:rFonts w:eastAsia="Calibri"/>
          <w:sz w:val="28"/>
          <w:szCs w:val="28"/>
          <w:lang w:eastAsia="en-US"/>
        </w:rPr>
        <w:t xml:space="preserve"> решения предлагается увеличить общий объем бюджетных ассигнований, направляемых на исполнение публичных нормативных обязательств в 2024 году на </w:t>
      </w:r>
      <w:r w:rsidR="00CB6909">
        <w:rPr>
          <w:rFonts w:eastAsia="Calibri"/>
          <w:sz w:val="28"/>
          <w:szCs w:val="28"/>
          <w:lang w:eastAsia="en-US"/>
        </w:rPr>
        <w:t>3 919,7</w:t>
      </w:r>
      <w:r w:rsidR="00F83B92" w:rsidRPr="00F83B92">
        <w:rPr>
          <w:rFonts w:eastAsia="Calibri"/>
          <w:sz w:val="28"/>
          <w:szCs w:val="28"/>
          <w:lang w:eastAsia="en-US"/>
        </w:rPr>
        <w:t xml:space="preserve"> тыс. рублей с </w:t>
      </w:r>
      <w:r w:rsidR="00CB6909">
        <w:rPr>
          <w:rFonts w:eastAsia="Calibri"/>
          <w:sz w:val="28"/>
          <w:szCs w:val="28"/>
          <w:lang w:eastAsia="en-US"/>
        </w:rPr>
        <w:t>55 042,7</w:t>
      </w:r>
      <w:r w:rsidR="00F83B92" w:rsidRPr="00F83B92">
        <w:rPr>
          <w:rFonts w:eastAsia="Calibri"/>
          <w:sz w:val="28"/>
          <w:szCs w:val="28"/>
          <w:lang w:eastAsia="en-US"/>
        </w:rPr>
        <w:t xml:space="preserve"> тыс. рублей до </w:t>
      </w:r>
      <w:r w:rsidR="008C274D">
        <w:rPr>
          <w:rFonts w:eastAsia="Calibri"/>
          <w:sz w:val="28"/>
          <w:szCs w:val="28"/>
          <w:lang w:eastAsia="en-US"/>
        </w:rPr>
        <w:t>58 962,4</w:t>
      </w:r>
      <w:r w:rsidR="00F83B92" w:rsidRPr="00F83B92">
        <w:rPr>
          <w:rFonts w:eastAsia="Calibri"/>
          <w:sz w:val="28"/>
          <w:szCs w:val="28"/>
          <w:lang w:eastAsia="en-US"/>
        </w:rPr>
        <w:t xml:space="preserve"> тыс. рублей.</w:t>
      </w:r>
    </w:p>
    <w:p w:rsidR="00700003" w:rsidRDefault="00700003" w:rsidP="00992051">
      <w:pPr>
        <w:pStyle w:val="1"/>
        <w:numPr>
          <w:ilvl w:val="0"/>
          <w:numId w:val="11"/>
        </w:numPr>
        <w:spacing w:before="0" w:line="283" w:lineRule="auto"/>
        <w:ind w:left="0" w:firstLine="709"/>
        <w:jc w:val="both"/>
        <w:rPr>
          <w:rFonts w:ascii="Times New Roman" w:eastAsia="Calibri" w:hAnsi="Times New Roman" w:cs="Times New Roman"/>
          <w:color w:val="auto"/>
          <w:sz w:val="28"/>
          <w:szCs w:val="28"/>
        </w:rPr>
      </w:pPr>
      <w:r w:rsidRPr="00700003">
        <w:rPr>
          <w:rFonts w:ascii="Times New Roman" w:eastAsia="Calibri" w:hAnsi="Times New Roman" w:cs="Times New Roman"/>
          <w:color w:val="auto"/>
          <w:sz w:val="28"/>
          <w:szCs w:val="28"/>
        </w:rPr>
        <w:t>Пунктом 1.</w:t>
      </w:r>
      <w:r>
        <w:rPr>
          <w:rFonts w:ascii="Times New Roman" w:eastAsia="Calibri" w:hAnsi="Times New Roman" w:cs="Times New Roman"/>
          <w:color w:val="auto"/>
          <w:sz w:val="28"/>
          <w:szCs w:val="28"/>
        </w:rPr>
        <w:t>4</w:t>
      </w:r>
      <w:r w:rsidRPr="00700003">
        <w:rPr>
          <w:rFonts w:ascii="Times New Roman" w:eastAsia="Calibri" w:hAnsi="Times New Roman" w:cs="Times New Roman"/>
          <w:color w:val="auto"/>
          <w:sz w:val="28"/>
          <w:szCs w:val="28"/>
        </w:rPr>
        <w:t xml:space="preserve"> проекта решения предлагается внести изменения в статью </w:t>
      </w:r>
      <w:r>
        <w:rPr>
          <w:rFonts w:ascii="Times New Roman" w:eastAsia="Calibri" w:hAnsi="Times New Roman" w:cs="Times New Roman"/>
          <w:color w:val="auto"/>
          <w:sz w:val="28"/>
          <w:szCs w:val="28"/>
        </w:rPr>
        <w:t>9</w:t>
      </w:r>
      <w:r w:rsidRPr="00700003">
        <w:rPr>
          <w:rFonts w:ascii="Times New Roman" w:eastAsia="Calibri" w:hAnsi="Times New Roman" w:cs="Times New Roman"/>
          <w:color w:val="auto"/>
          <w:sz w:val="28"/>
          <w:szCs w:val="28"/>
        </w:rPr>
        <w:t xml:space="preserve"> «</w:t>
      </w:r>
      <w:r w:rsidRPr="00700003">
        <w:rPr>
          <w:rFonts w:ascii="Times New Roman" w:eastAsia="Calibri" w:hAnsi="Times New Roman" w:cs="Times New Roman"/>
          <w:b/>
          <w:color w:val="auto"/>
          <w:sz w:val="28"/>
          <w:szCs w:val="28"/>
        </w:rPr>
        <w:t>Объем расходов на обслуживание муниципального долга</w:t>
      </w:r>
      <w:r w:rsidRPr="00700003">
        <w:rPr>
          <w:rFonts w:ascii="Times New Roman" w:eastAsia="Calibri" w:hAnsi="Times New Roman" w:cs="Times New Roman"/>
          <w:color w:val="auto"/>
          <w:sz w:val="28"/>
          <w:szCs w:val="28"/>
        </w:rPr>
        <w:t xml:space="preserve">» решения о бюджете в части </w:t>
      </w:r>
      <w:r>
        <w:rPr>
          <w:rFonts w:ascii="Times New Roman" w:eastAsia="Calibri" w:hAnsi="Times New Roman" w:cs="Times New Roman"/>
          <w:color w:val="auto"/>
          <w:sz w:val="28"/>
          <w:szCs w:val="28"/>
        </w:rPr>
        <w:t>уменьшения</w:t>
      </w:r>
      <w:r w:rsidRPr="00700003">
        <w:rPr>
          <w:rFonts w:ascii="Times New Roman" w:eastAsia="Calibri" w:hAnsi="Times New Roman" w:cs="Times New Roman"/>
          <w:color w:val="auto"/>
          <w:sz w:val="28"/>
          <w:szCs w:val="28"/>
        </w:rPr>
        <w:t xml:space="preserve"> объема расходов на обслуживание муниципального долга муниципального образования Печенгский муниципальный округ на 2024 год </w:t>
      </w:r>
      <w:r>
        <w:rPr>
          <w:rFonts w:ascii="Times New Roman" w:eastAsia="Calibri" w:hAnsi="Times New Roman" w:cs="Times New Roman"/>
          <w:color w:val="auto"/>
          <w:sz w:val="28"/>
          <w:szCs w:val="28"/>
        </w:rPr>
        <w:t xml:space="preserve">на 97,4 тыс. рублей или на 32%. В плановом периоде объемы расходов на </w:t>
      </w:r>
      <w:r w:rsidRPr="00700003">
        <w:rPr>
          <w:rFonts w:ascii="Times New Roman" w:eastAsia="Calibri" w:hAnsi="Times New Roman" w:cs="Times New Roman"/>
          <w:color w:val="auto"/>
          <w:sz w:val="28"/>
          <w:szCs w:val="28"/>
        </w:rPr>
        <w:t>обслуживание муниципального долга муниципального образования Печенгский муниципальный округ</w:t>
      </w:r>
      <w:r w:rsidR="00B64180">
        <w:rPr>
          <w:rFonts w:ascii="Times New Roman" w:eastAsia="Calibri" w:hAnsi="Times New Roman" w:cs="Times New Roman"/>
          <w:color w:val="auto"/>
          <w:sz w:val="28"/>
          <w:szCs w:val="28"/>
        </w:rPr>
        <w:t xml:space="preserve"> остаются неизменными.</w:t>
      </w:r>
    </w:p>
    <w:p w:rsidR="00992051" w:rsidRPr="00EF552F" w:rsidRDefault="00992051" w:rsidP="00992051">
      <w:pPr>
        <w:pStyle w:val="1"/>
        <w:numPr>
          <w:ilvl w:val="0"/>
          <w:numId w:val="11"/>
        </w:numPr>
        <w:spacing w:before="0" w:line="283" w:lineRule="auto"/>
        <w:ind w:left="0" w:firstLine="709"/>
        <w:jc w:val="both"/>
        <w:rPr>
          <w:rFonts w:ascii="Times New Roman" w:eastAsia="Calibri" w:hAnsi="Times New Roman" w:cs="Times New Roman"/>
          <w:color w:val="auto"/>
          <w:sz w:val="28"/>
          <w:szCs w:val="28"/>
        </w:rPr>
      </w:pPr>
      <w:r w:rsidRPr="00EF552F">
        <w:rPr>
          <w:rFonts w:ascii="Times New Roman" w:eastAsia="Calibri" w:hAnsi="Times New Roman" w:cs="Times New Roman"/>
          <w:color w:val="auto"/>
          <w:sz w:val="28"/>
          <w:szCs w:val="28"/>
        </w:rPr>
        <w:t>Пунктом 1.</w:t>
      </w:r>
      <w:r>
        <w:rPr>
          <w:rFonts w:ascii="Times New Roman" w:eastAsia="Calibri" w:hAnsi="Times New Roman" w:cs="Times New Roman"/>
          <w:color w:val="auto"/>
          <w:sz w:val="28"/>
          <w:szCs w:val="28"/>
        </w:rPr>
        <w:t>5</w:t>
      </w:r>
      <w:r w:rsidRPr="00EF552F">
        <w:rPr>
          <w:rFonts w:ascii="Times New Roman" w:eastAsia="Calibri" w:hAnsi="Times New Roman" w:cs="Times New Roman"/>
          <w:color w:val="auto"/>
          <w:sz w:val="28"/>
          <w:szCs w:val="28"/>
        </w:rPr>
        <w:t xml:space="preserve"> проекта решения предлагается внести изменения в статью 11</w:t>
      </w:r>
      <w:r w:rsidRPr="00EF552F">
        <w:rPr>
          <w:rFonts w:ascii="Times New Roman" w:eastAsia="Calibri" w:hAnsi="Times New Roman" w:cs="Times New Roman"/>
          <w:b/>
          <w:color w:val="auto"/>
          <w:sz w:val="28"/>
          <w:szCs w:val="28"/>
        </w:rPr>
        <w:t xml:space="preserve"> «Дорожный фонд» </w:t>
      </w:r>
      <w:r w:rsidRPr="00EF552F">
        <w:rPr>
          <w:rFonts w:ascii="Times New Roman" w:eastAsia="Calibri" w:hAnsi="Times New Roman" w:cs="Times New Roman"/>
          <w:color w:val="auto"/>
          <w:sz w:val="28"/>
          <w:szCs w:val="28"/>
        </w:rPr>
        <w:t xml:space="preserve">решения о бюджете в части </w:t>
      </w:r>
      <w:r>
        <w:rPr>
          <w:rFonts w:ascii="Times New Roman" w:eastAsia="Calibri" w:hAnsi="Times New Roman" w:cs="Times New Roman"/>
          <w:color w:val="auto"/>
          <w:sz w:val="28"/>
          <w:szCs w:val="28"/>
        </w:rPr>
        <w:t>уменьшения</w:t>
      </w:r>
      <w:r w:rsidRPr="00EF552F">
        <w:rPr>
          <w:rFonts w:ascii="Times New Roman" w:eastAsia="Calibri" w:hAnsi="Times New Roman" w:cs="Times New Roman"/>
          <w:color w:val="auto"/>
          <w:sz w:val="28"/>
          <w:szCs w:val="28"/>
        </w:rPr>
        <w:t xml:space="preserve"> объема бюджетных ассигнований муниципального дорожного фонда Печенгского муниципального округа в текущем году на </w:t>
      </w:r>
      <w:r>
        <w:rPr>
          <w:rFonts w:ascii="Times New Roman" w:eastAsia="Calibri" w:hAnsi="Times New Roman" w:cs="Times New Roman"/>
          <w:color w:val="auto"/>
          <w:sz w:val="28"/>
          <w:szCs w:val="28"/>
        </w:rPr>
        <w:t>16 951,</w:t>
      </w:r>
      <w:r w:rsidR="00903FF0">
        <w:rPr>
          <w:rFonts w:ascii="Times New Roman" w:eastAsia="Calibri" w:hAnsi="Times New Roman" w:cs="Times New Roman"/>
          <w:color w:val="auto"/>
          <w:sz w:val="28"/>
          <w:szCs w:val="28"/>
        </w:rPr>
        <w:t>0</w:t>
      </w:r>
      <w:r w:rsidRPr="00EF552F">
        <w:rPr>
          <w:rFonts w:ascii="Times New Roman" w:eastAsia="Calibri" w:hAnsi="Times New Roman" w:cs="Times New Roman"/>
          <w:color w:val="auto"/>
          <w:sz w:val="28"/>
          <w:szCs w:val="28"/>
        </w:rPr>
        <w:t xml:space="preserve"> тыс. рублей с </w:t>
      </w:r>
      <w:r>
        <w:rPr>
          <w:rFonts w:ascii="Times New Roman" w:eastAsia="Calibri" w:hAnsi="Times New Roman" w:cs="Times New Roman"/>
          <w:color w:val="auto"/>
          <w:sz w:val="28"/>
          <w:szCs w:val="28"/>
        </w:rPr>
        <w:t>206 544,5</w:t>
      </w:r>
      <w:r w:rsidRPr="00EF552F">
        <w:rPr>
          <w:rFonts w:ascii="Times New Roman" w:eastAsia="Calibri" w:hAnsi="Times New Roman" w:cs="Times New Roman"/>
          <w:color w:val="auto"/>
          <w:sz w:val="28"/>
          <w:szCs w:val="28"/>
        </w:rPr>
        <w:t xml:space="preserve"> тыс. рублей до </w:t>
      </w:r>
      <w:r>
        <w:rPr>
          <w:rFonts w:ascii="Times New Roman" w:eastAsia="Calibri" w:hAnsi="Times New Roman" w:cs="Times New Roman"/>
          <w:color w:val="auto"/>
          <w:sz w:val="28"/>
          <w:szCs w:val="28"/>
        </w:rPr>
        <w:t>189 593,4</w:t>
      </w:r>
      <w:r w:rsidRPr="00EF552F">
        <w:rPr>
          <w:rFonts w:ascii="Times New Roman" w:eastAsia="Calibri" w:hAnsi="Times New Roman" w:cs="Times New Roman"/>
          <w:color w:val="auto"/>
          <w:sz w:val="28"/>
          <w:szCs w:val="28"/>
        </w:rPr>
        <w:t xml:space="preserve"> тыс. рублей за счет:</w:t>
      </w:r>
    </w:p>
    <w:p w:rsidR="00992051" w:rsidRDefault="00992051" w:rsidP="00992051">
      <w:pPr>
        <w:pStyle w:val="afc"/>
        <w:spacing w:line="283" w:lineRule="auto"/>
        <w:rPr>
          <w:lang w:val="ru-RU"/>
        </w:rPr>
      </w:pPr>
      <w:r>
        <w:rPr>
          <w:lang w:val="ru-RU"/>
        </w:rPr>
        <w:t xml:space="preserve">- </w:t>
      </w:r>
      <w:r w:rsidR="005C2605">
        <w:rPr>
          <w:lang w:val="ru-RU"/>
        </w:rPr>
        <w:t>с</w:t>
      </w:r>
      <w:r w:rsidR="005C2605" w:rsidRPr="005C2605">
        <w:rPr>
          <w:lang w:val="ru-RU"/>
        </w:rPr>
        <w:t>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005C2605">
        <w:rPr>
          <w:lang w:val="ru-RU"/>
        </w:rPr>
        <w:t xml:space="preserve"> в сумме 16 601,1 тыс. рублей</w:t>
      </w:r>
      <w:r w:rsidR="00903FF0">
        <w:rPr>
          <w:lang w:val="ru-RU"/>
        </w:rPr>
        <w:t>;</w:t>
      </w:r>
    </w:p>
    <w:p w:rsidR="00903FF0" w:rsidRDefault="00903FF0" w:rsidP="00992051">
      <w:pPr>
        <w:pStyle w:val="afc"/>
        <w:spacing w:line="283" w:lineRule="auto"/>
        <w:rPr>
          <w:lang w:val="ru-RU"/>
        </w:rPr>
      </w:pPr>
      <w:r>
        <w:rPr>
          <w:lang w:val="ru-RU"/>
        </w:rPr>
        <w:t>- с</w:t>
      </w:r>
      <w:r w:rsidRPr="00903FF0">
        <w:rPr>
          <w:lang w:val="ru-RU"/>
        </w:rPr>
        <w:t>убсидии из областного бюджета местным бюджетам на финансовое обеспечение работ по диагностике и оценке транспортно-эксплуатационного состояния, паспортизации, разработке и актуализации проектов организации дорожного движения автомобильных дорог общего пользования местного значения</w:t>
      </w:r>
      <w:r>
        <w:rPr>
          <w:lang w:val="ru-RU"/>
        </w:rPr>
        <w:t>,</w:t>
      </w:r>
      <w:r w:rsidRPr="00903FF0">
        <w:rPr>
          <w:lang w:val="ru-RU"/>
        </w:rPr>
        <w:t xml:space="preserve"> за счет средств дорожного фонда</w:t>
      </w:r>
      <w:r>
        <w:rPr>
          <w:lang w:val="ru-RU"/>
        </w:rPr>
        <w:t xml:space="preserve"> в сумме 349,9 тыс. рублей.</w:t>
      </w:r>
    </w:p>
    <w:p w:rsidR="00992051" w:rsidRPr="00830670" w:rsidRDefault="00992051" w:rsidP="00992051">
      <w:pPr>
        <w:pStyle w:val="afc"/>
        <w:spacing w:line="283" w:lineRule="auto"/>
        <w:rPr>
          <w:color w:val="FF0000"/>
          <w:lang w:val="ru-RU"/>
        </w:rPr>
      </w:pPr>
      <w:r w:rsidRPr="00830670">
        <w:rPr>
          <w:lang w:val="ru-RU"/>
        </w:rPr>
        <w:t xml:space="preserve">В плановом периоде 2025-2026 годы объем бюджетных ассигнований </w:t>
      </w:r>
      <w:r w:rsidRPr="00E2626A">
        <w:rPr>
          <w:lang w:val="ru-RU"/>
        </w:rPr>
        <w:t>дорожного фонда Печенгского муниципального округа</w:t>
      </w:r>
      <w:r>
        <w:rPr>
          <w:lang w:val="ru-RU"/>
        </w:rPr>
        <w:t xml:space="preserve"> </w:t>
      </w:r>
      <w:r>
        <w:t>остается неизменным</w:t>
      </w:r>
      <w:r>
        <w:rPr>
          <w:lang w:val="ru-RU"/>
        </w:rPr>
        <w:t xml:space="preserve">. </w:t>
      </w:r>
    </w:p>
    <w:p w:rsidR="003E679D" w:rsidRDefault="00D4090E" w:rsidP="00876CF0">
      <w:pPr>
        <w:pStyle w:val="1"/>
        <w:numPr>
          <w:ilvl w:val="0"/>
          <w:numId w:val="11"/>
        </w:numPr>
        <w:spacing w:before="0" w:line="283" w:lineRule="auto"/>
        <w:ind w:left="0" w:firstLine="709"/>
        <w:jc w:val="both"/>
        <w:rPr>
          <w:rFonts w:ascii="Times New Roman" w:eastAsia="Times New Roman" w:hAnsi="Times New Roman" w:cs="Times New Roman"/>
          <w:color w:val="auto"/>
          <w:sz w:val="28"/>
          <w:szCs w:val="28"/>
          <w:lang w:eastAsia="x-none"/>
        </w:rPr>
      </w:pPr>
      <w:r w:rsidRPr="00876CF0">
        <w:rPr>
          <w:rFonts w:ascii="Times New Roman" w:eastAsia="Calibri" w:hAnsi="Times New Roman" w:cs="Times New Roman"/>
          <w:b/>
          <w:color w:val="auto"/>
          <w:sz w:val="28"/>
          <w:szCs w:val="28"/>
        </w:rPr>
        <w:t>Доходы</w:t>
      </w:r>
      <w:r w:rsidR="00876CF0" w:rsidRPr="00876CF0">
        <w:rPr>
          <w:rFonts w:ascii="Times New Roman" w:eastAsia="Calibri" w:hAnsi="Times New Roman" w:cs="Times New Roman"/>
          <w:b/>
          <w:color w:val="auto"/>
          <w:sz w:val="28"/>
          <w:szCs w:val="28"/>
        </w:rPr>
        <w:t xml:space="preserve"> </w:t>
      </w:r>
      <w:r w:rsidR="00876CF0" w:rsidRPr="00876CF0">
        <w:rPr>
          <w:rFonts w:ascii="Times New Roman" w:eastAsia="Times New Roman" w:hAnsi="Times New Roman" w:cs="Times New Roman"/>
          <w:color w:val="auto"/>
          <w:sz w:val="28"/>
          <w:szCs w:val="28"/>
          <w:lang w:val="x-none" w:eastAsia="x-none"/>
        </w:rPr>
        <w:t>бюджета округа</w:t>
      </w:r>
      <w:r w:rsidR="00876CF0" w:rsidRPr="00876CF0">
        <w:rPr>
          <w:rFonts w:ascii="Times New Roman" w:eastAsia="Times New Roman" w:hAnsi="Times New Roman" w:cs="Times New Roman"/>
          <w:color w:val="auto"/>
          <w:sz w:val="28"/>
          <w:szCs w:val="28"/>
          <w:lang w:eastAsia="x-none"/>
        </w:rPr>
        <w:t xml:space="preserve">, </w:t>
      </w:r>
      <w:r w:rsidR="00876CF0" w:rsidRPr="00876CF0">
        <w:rPr>
          <w:rFonts w:ascii="Times New Roman" w:eastAsia="Times New Roman" w:hAnsi="Times New Roman" w:cs="Times New Roman"/>
          <w:color w:val="auto"/>
          <w:sz w:val="28"/>
          <w:szCs w:val="28"/>
          <w:lang w:val="x-none" w:eastAsia="x-none"/>
        </w:rPr>
        <w:t>п</w:t>
      </w:r>
      <w:r w:rsidR="007F27A8" w:rsidRPr="00876CF0">
        <w:rPr>
          <w:rFonts w:ascii="Times New Roman" w:eastAsia="Times New Roman" w:hAnsi="Times New Roman" w:cs="Times New Roman"/>
          <w:color w:val="auto"/>
          <w:sz w:val="28"/>
          <w:szCs w:val="28"/>
          <w:lang w:val="x-none" w:eastAsia="x-none"/>
        </w:rPr>
        <w:t xml:space="preserve">рогнозируемые проектом решения </w:t>
      </w:r>
      <w:r w:rsidR="00876CF0" w:rsidRPr="00876CF0">
        <w:rPr>
          <w:rFonts w:ascii="Times New Roman" w:eastAsia="Times New Roman" w:hAnsi="Times New Roman" w:cs="Times New Roman"/>
          <w:color w:val="auto"/>
          <w:sz w:val="28"/>
          <w:szCs w:val="28"/>
          <w:lang w:val="x-none" w:eastAsia="x-none"/>
        </w:rPr>
        <w:t>на 2024 год</w:t>
      </w:r>
      <w:r w:rsidR="00876CF0">
        <w:rPr>
          <w:rFonts w:ascii="Times New Roman" w:eastAsia="Times New Roman" w:hAnsi="Times New Roman" w:cs="Times New Roman"/>
          <w:color w:val="auto"/>
          <w:sz w:val="28"/>
          <w:szCs w:val="28"/>
          <w:lang w:eastAsia="x-none"/>
        </w:rPr>
        <w:t>,</w:t>
      </w:r>
      <w:r w:rsidR="00876CF0" w:rsidRPr="00876CF0">
        <w:rPr>
          <w:rFonts w:ascii="Times New Roman" w:eastAsia="Times New Roman" w:hAnsi="Times New Roman" w:cs="Times New Roman"/>
          <w:color w:val="auto"/>
          <w:sz w:val="28"/>
          <w:szCs w:val="28"/>
          <w:lang w:val="x-none" w:eastAsia="x-none"/>
        </w:rPr>
        <w:t xml:space="preserve"> </w:t>
      </w:r>
      <w:r w:rsidR="007F27A8" w:rsidRPr="00876CF0">
        <w:rPr>
          <w:rFonts w:ascii="Times New Roman" w:eastAsia="Times New Roman" w:hAnsi="Times New Roman" w:cs="Times New Roman"/>
          <w:color w:val="auto"/>
          <w:sz w:val="28"/>
          <w:szCs w:val="28"/>
          <w:lang w:val="x-none" w:eastAsia="x-none"/>
        </w:rPr>
        <w:t xml:space="preserve">увеличены на </w:t>
      </w:r>
      <w:r w:rsidR="005D2590">
        <w:rPr>
          <w:rFonts w:ascii="Times New Roman" w:eastAsia="Times New Roman" w:hAnsi="Times New Roman" w:cs="Times New Roman"/>
          <w:color w:val="auto"/>
          <w:sz w:val="28"/>
          <w:szCs w:val="28"/>
          <w:lang w:eastAsia="x-none"/>
        </w:rPr>
        <w:t>41 810,5</w:t>
      </w:r>
      <w:r w:rsidR="007F27A8" w:rsidRPr="00876CF0">
        <w:rPr>
          <w:rFonts w:ascii="Times New Roman" w:eastAsia="Times New Roman" w:hAnsi="Times New Roman" w:cs="Times New Roman"/>
          <w:color w:val="auto"/>
          <w:sz w:val="28"/>
          <w:szCs w:val="28"/>
          <w:lang w:val="x-none" w:eastAsia="x-none"/>
        </w:rPr>
        <w:t xml:space="preserve"> тыс. рублей или </w:t>
      </w:r>
      <w:r w:rsidR="005D2590">
        <w:rPr>
          <w:rFonts w:ascii="Times New Roman" w:eastAsia="Times New Roman" w:hAnsi="Times New Roman" w:cs="Times New Roman"/>
          <w:color w:val="auto"/>
          <w:sz w:val="28"/>
          <w:szCs w:val="28"/>
          <w:lang w:eastAsia="x-none"/>
        </w:rPr>
        <w:t>1,1</w:t>
      </w:r>
      <w:r w:rsidR="007F27A8" w:rsidRPr="00876CF0">
        <w:rPr>
          <w:rFonts w:ascii="Times New Roman" w:eastAsia="Times New Roman" w:hAnsi="Times New Roman" w:cs="Times New Roman"/>
          <w:color w:val="auto"/>
          <w:sz w:val="28"/>
          <w:szCs w:val="28"/>
          <w:lang w:val="x-none" w:eastAsia="x-none"/>
        </w:rPr>
        <w:t>% в результате</w:t>
      </w:r>
      <w:r w:rsidR="0055729B" w:rsidRPr="00876CF0">
        <w:rPr>
          <w:rFonts w:ascii="Times New Roman" w:eastAsia="Times New Roman" w:hAnsi="Times New Roman" w:cs="Times New Roman"/>
          <w:color w:val="auto"/>
          <w:sz w:val="28"/>
          <w:szCs w:val="28"/>
          <w:lang w:val="x-none" w:eastAsia="x-none"/>
        </w:rPr>
        <w:t xml:space="preserve"> </w:t>
      </w:r>
      <w:r w:rsidR="007F27A8" w:rsidRPr="00876CF0">
        <w:rPr>
          <w:rFonts w:ascii="Times New Roman" w:eastAsia="Times New Roman" w:hAnsi="Times New Roman" w:cs="Times New Roman"/>
          <w:color w:val="auto"/>
          <w:sz w:val="28"/>
          <w:szCs w:val="28"/>
          <w:lang w:val="x-none" w:eastAsia="x-none"/>
        </w:rPr>
        <w:t xml:space="preserve">увеличения </w:t>
      </w:r>
      <w:r w:rsidR="001C17B1">
        <w:rPr>
          <w:rFonts w:ascii="Times New Roman" w:eastAsia="Times New Roman" w:hAnsi="Times New Roman" w:cs="Times New Roman"/>
          <w:color w:val="auto"/>
          <w:sz w:val="28"/>
          <w:szCs w:val="28"/>
          <w:lang w:eastAsia="x-none"/>
        </w:rPr>
        <w:t xml:space="preserve">налоговых и неналоговых доходов и </w:t>
      </w:r>
      <w:r w:rsidR="007F27A8" w:rsidRPr="00876CF0">
        <w:rPr>
          <w:rFonts w:ascii="Times New Roman" w:eastAsia="Times New Roman" w:hAnsi="Times New Roman" w:cs="Times New Roman"/>
          <w:color w:val="auto"/>
          <w:sz w:val="28"/>
          <w:szCs w:val="28"/>
          <w:lang w:val="x-none" w:eastAsia="x-none"/>
        </w:rPr>
        <w:t xml:space="preserve">безвозмездных поступлений </w:t>
      </w:r>
      <w:r w:rsidR="00656B89" w:rsidRPr="00876CF0">
        <w:rPr>
          <w:rFonts w:ascii="Times New Roman" w:eastAsia="Times New Roman" w:hAnsi="Times New Roman" w:cs="Times New Roman"/>
          <w:color w:val="auto"/>
          <w:sz w:val="28"/>
          <w:szCs w:val="28"/>
          <w:lang w:val="x-none" w:eastAsia="x-none"/>
        </w:rPr>
        <w:t xml:space="preserve">и составили </w:t>
      </w:r>
      <w:r w:rsidR="005D2590">
        <w:rPr>
          <w:rFonts w:ascii="Times New Roman" w:eastAsia="Times New Roman" w:hAnsi="Times New Roman" w:cs="Times New Roman"/>
          <w:color w:val="auto"/>
          <w:sz w:val="28"/>
          <w:szCs w:val="28"/>
          <w:lang w:eastAsia="x-none"/>
        </w:rPr>
        <w:t>3 804 146,6</w:t>
      </w:r>
      <w:r w:rsidR="00656B89" w:rsidRPr="00876CF0">
        <w:rPr>
          <w:rFonts w:ascii="Times New Roman" w:eastAsia="Times New Roman" w:hAnsi="Times New Roman" w:cs="Times New Roman"/>
          <w:color w:val="auto"/>
          <w:sz w:val="28"/>
          <w:szCs w:val="28"/>
          <w:lang w:val="x-none" w:eastAsia="x-none"/>
        </w:rPr>
        <w:t xml:space="preserve"> тыс. рублей, что представлено в таблице</w:t>
      </w:r>
      <w:r w:rsidR="003E679D" w:rsidRPr="00876CF0">
        <w:rPr>
          <w:rFonts w:ascii="Times New Roman" w:eastAsia="Times New Roman" w:hAnsi="Times New Roman" w:cs="Times New Roman"/>
          <w:color w:val="auto"/>
          <w:sz w:val="28"/>
          <w:szCs w:val="28"/>
          <w:lang w:val="x-none" w:eastAsia="x-none"/>
        </w:rPr>
        <w:t xml:space="preserve"> 2</w:t>
      </w:r>
      <w:r w:rsidR="00656B89" w:rsidRPr="00876CF0">
        <w:rPr>
          <w:rFonts w:ascii="Times New Roman" w:eastAsia="Times New Roman" w:hAnsi="Times New Roman" w:cs="Times New Roman"/>
          <w:color w:val="auto"/>
          <w:sz w:val="28"/>
          <w:szCs w:val="28"/>
          <w:lang w:val="x-none" w:eastAsia="x-none"/>
        </w:rPr>
        <w:t>:</w:t>
      </w:r>
    </w:p>
    <w:p w:rsidR="00656B89" w:rsidRDefault="003E679D" w:rsidP="003E679D">
      <w:pPr>
        <w:jc w:val="right"/>
        <w:rPr>
          <w:sz w:val="20"/>
          <w:szCs w:val="20"/>
        </w:rPr>
      </w:pPr>
      <w:r w:rsidRPr="00BF7C59">
        <w:rPr>
          <w:sz w:val="20"/>
          <w:szCs w:val="20"/>
        </w:rPr>
        <w:t xml:space="preserve">таблица </w:t>
      </w:r>
      <w:r>
        <w:rPr>
          <w:sz w:val="20"/>
          <w:szCs w:val="20"/>
        </w:rPr>
        <w:t xml:space="preserve">2 , </w:t>
      </w:r>
      <w:r w:rsidRPr="00D4090E">
        <w:rPr>
          <w:sz w:val="20"/>
          <w:szCs w:val="20"/>
        </w:rPr>
        <w:t>тыс. рублей</w:t>
      </w:r>
    </w:p>
    <w:tbl>
      <w:tblPr>
        <w:tblW w:w="9640" w:type="dxa"/>
        <w:tblInd w:w="-34" w:type="dxa"/>
        <w:tblLayout w:type="fixed"/>
        <w:tblLook w:val="04A0" w:firstRow="1" w:lastRow="0" w:firstColumn="1" w:lastColumn="0" w:noHBand="0" w:noVBand="1"/>
      </w:tblPr>
      <w:tblGrid>
        <w:gridCol w:w="441"/>
        <w:gridCol w:w="380"/>
        <w:gridCol w:w="3290"/>
        <w:gridCol w:w="1840"/>
        <w:gridCol w:w="1660"/>
        <w:gridCol w:w="1140"/>
        <w:gridCol w:w="889"/>
      </w:tblGrid>
      <w:tr w:rsidR="005D2590" w:rsidRPr="005D2590" w:rsidTr="005D2590">
        <w:trPr>
          <w:trHeight w:val="255"/>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2590" w:rsidRPr="005D2590" w:rsidRDefault="005D2590" w:rsidP="005D2590">
            <w:pPr>
              <w:jc w:val="center"/>
              <w:rPr>
                <w:sz w:val="22"/>
                <w:szCs w:val="22"/>
              </w:rPr>
            </w:pPr>
            <w:r w:rsidRPr="005D2590">
              <w:rPr>
                <w:sz w:val="22"/>
                <w:szCs w:val="22"/>
              </w:rPr>
              <w:t>№</w:t>
            </w:r>
          </w:p>
        </w:tc>
        <w:tc>
          <w:tcPr>
            <w:tcW w:w="367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D2590" w:rsidRPr="005D2590" w:rsidRDefault="005D2590" w:rsidP="005D2590">
            <w:pPr>
              <w:jc w:val="center"/>
              <w:rPr>
                <w:sz w:val="22"/>
                <w:szCs w:val="22"/>
              </w:rPr>
            </w:pPr>
            <w:r w:rsidRPr="005D2590">
              <w:rPr>
                <w:sz w:val="22"/>
                <w:szCs w:val="22"/>
              </w:rPr>
              <w:t>Показатели</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2590" w:rsidRPr="005D2590" w:rsidRDefault="005D2590" w:rsidP="005D2590">
            <w:pPr>
              <w:jc w:val="center"/>
              <w:rPr>
                <w:sz w:val="22"/>
                <w:szCs w:val="22"/>
              </w:rPr>
            </w:pPr>
            <w:r w:rsidRPr="005D2590">
              <w:rPr>
                <w:sz w:val="22"/>
                <w:szCs w:val="22"/>
              </w:rPr>
              <w:t xml:space="preserve">Утверждено </w:t>
            </w:r>
            <w:r w:rsidRPr="005D2590">
              <w:rPr>
                <w:sz w:val="22"/>
                <w:szCs w:val="22"/>
              </w:rPr>
              <w:lastRenderedPageBreak/>
              <w:t>решением о бюджете</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2590" w:rsidRPr="005D2590" w:rsidRDefault="005D2590" w:rsidP="005D2590">
            <w:pPr>
              <w:jc w:val="center"/>
              <w:rPr>
                <w:sz w:val="22"/>
                <w:szCs w:val="22"/>
              </w:rPr>
            </w:pPr>
            <w:r w:rsidRPr="005D2590">
              <w:rPr>
                <w:sz w:val="22"/>
                <w:szCs w:val="22"/>
              </w:rPr>
              <w:lastRenderedPageBreak/>
              <w:t xml:space="preserve">Проект </w:t>
            </w:r>
            <w:r w:rsidRPr="005D2590">
              <w:rPr>
                <w:sz w:val="22"/>
                <w:szCs w:val="22"/>
              </w:rPr>
              <w:lastRenderedPageBreak/>
              <w:t xml:space="preserve">решения </w:t>
            </w:r>
          </w:p>
        </w:tc>
        <w:tc>
          <w:tcPr>
            <w:tcW w:w="2029" w:type="dxa"/>
            <w:gridSpan w:val="2"/>
            <w:vMerge w:val="restart"/>
            <w:tcBorders>
              <w:top w:val="single" w:sz="4" w:space="0" w:color="auto"/>
              <w:left w:val="single" w:sz="4" w:space="0" w:color="auto"/>
              <w:bottom w:val="single" w:sz="4" w:space="0" w:color="000000"/>
              <w:right w:val="single" w:sz="4" w:space="0" w:color="000000"/>
            </w:tcBorders>
            <w:shd w:val="clear" w:color="000000" w:fill="EBF1DE"/>
            <w:vAlign w:val="center"/>
            <w:hideMark/>
          </w:tcPr>
          <w:p w:rsidR="005D2590" w:rsidRPr="005D2590" w:rsidRDefault="005D2590" w:rsidP="005D2590">
            <w:pPr>
              <w:jc w:val="center"/>
              <w:rPr>
                <w:sz w:val="22"/>
                <w:szCs w:val="22"/>
              </w:rPr>
            </w:pPr>
            <w:r w:rsidRPr="005D2590">
              <w:rPr>
                <w:sz w:val="22"/>
                <w:szCs w:val="22"/>
              </w:rPr>
              <w:lastRenderedPageBreak/>
              <w:t>Отклонения</w:t>
            </w:r>
          </w:p>
        </w:tc>
      </w:tr>
      <w:tr w:rsidR="005D2590" w:rsidRPr="005D2590" w:rsidTr="005D2590">
        <w:trPr>
          <w:trHeight w:val="60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5D2590" w:rsidRPr="005D2590" w:rsidRDefault="005D2590" w:rsidP="005D2590">
            <w:pPr>
              <w:rPr>
                <w:sz w:val="22"/>
                <w:szCs w:val="22"/>
              </w:rPr>
            </w:pPr>
          </w:p>
        </w:tc>
        <w:tc>
          <w:tcPr>
            <w:tcW w:w="3670" w:type="dxa"/>
            <w:gridSpan w:val="2"/>
            <w:vMerge/>
            <w:tcBorders>
              <w:top w:val="single" w:sz="4" w:space="0" w:color="auto"/>
              <w:left w:val="single" w:sz="4" w:space="0" w:color="auto"/>
              <w:bottom w:val="single" w:sz="4" w:space="0" w:color="000000"/>
              <w:right w:val="single" w:sz="4" w:space="0" w:color="000000"/>
            </w:tcBorders>
            <w:vAlign w:val="center"/>
            <w:hideMark/>
          </w:tcPr>
          <w:p w:rsidR="005D2590" w:rsidRPr="005D2590" w:rsidRDefault="005D2590" w:rsidP="005D2590">
            <w:pPr>
              <w:rPr>
                <w:sz w:val="22"/>
                <w:szCs w:val="22"/>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5D2590" w:rsidRPr="005D2590" w:rsidRDefault="005D2590" w:rsidP="005D2590">
            <w:pPr>
              <w:rPr>
                <w:sz w:val="22"/>
                <w:szCs w:val="22"/>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5D2590" w:rsidRPr="005D2590" w:rsidRDefault="005D2590" w:rsidP="005D2590">
            <w:pPr>
              <w:rPr>
                <w:sz w:val="22"/>
                <w:szCs w:val="22"/>
              </w:rPr>
            </w:pPr>
          </w:p>
        </w:tc>
        <w:tc>
          <w:tcPr>
            <w:tcW w:w="2029" w:type="dxa"/>
            <w:gridSpan w:val="2"/>
            <w:vMerge/>
            <w:tcBorders>
              <w:top w:val="single" w:sz="4" w:space="0" w:color="auto"/>
              <w:left w:val="single" w:sz="4" w:space="0" w:color="auto"/>
              <w:bottom w:val="single" w:sz="4" w:space="0" w:color="000000"/>
              <w:right w:val="single" w:sz="4" w:space="0" w:color="000000"/>
            </w:tcBorders>
            <w:vAlign w:val="center"/>
            <w:hideMark/>
          </w:tcPr>
          <w:p w:rsidR="005D2590" w:rsidRPr="005D2590" w:rsidRDefault="005D2590" w:rsidP="005D2590">
            <w:pPr>
              <w:rPr>
                <w:sz w:val="22"/>
                <w:szCs w:val="22"/>
              </w:rPr>
            </w:pPr>
          </w:p>
        </w:tc>
      </w:tr>
      <w:tr w:rsidR="005D2590" w:rsidRPr="005D2590" w:rsidTr="005D2590">
        <w:trPr>
          <w:trHeight w:val="3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D2590" w:rsidRPr="005D2590" w:rsidRDefault="005D2590" w:rsidP="005D2590">
            <w:pPr>
              <w:jc w:val="center"/>
              <w:rPr>
                <w:b/>
                <w:bCs/>
                <w:sz w:val="18"/>
                <w:szCs w:val="18"/>
              </w:rPr>
            </w:pPr>
            <w:r w:rsidRPr="005D2590">
              <w:rPr>
                <w:b/>
                <w:bCs/>
                <w:sz w:val="18"/>
                <w:szCs w:val="18"/>
              </w:rPr>
              <w:lastRenderedPageBreak/>
              <w:t>1.</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5D2590" w:rsidRPr="005D2590" w:rsidRDefault="005D2590" w:rsidP="005D2590">
            <w:pPr>
              <w:jc w:val="center"/>
              <w:rPr>
                <w:b/>
                <w:bCs/>
                <w:sz w:val="20"/>
                <w:szCs w:val="20"/>
              </w:rPr>
            </w:pPr>
            <w:r w:rsidRPr="005D2590">
              <w:rPr>
                <w:b/>
                <w:bCs/>
                <w:sz w:val="20"/>
                <w:szCs w:val="20"/>
              </w:rPr>
              <w:t xml:space="preserve">ДОХОДЫ, </w:t>
            </w:r>
            <w:r w:rsidRPr="005D2590">
              <w:rPr>
                <w:sz w:val="20"/>
                <w:szCs w:val="20"/>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b/>
                <w:bCs/>
                <w:i/>
                <w:iCs/>
                <w:sz w:val="22"/>
                <w:szCs w:val="22"/>
              </w:rPr>
            </w:pPr>
            <w:r w:rsidRPr="005D2590">
              <w:rPr>
                <w:b/>
                <w:bCs/>
                <w:i/>
                <w:iCs/>
                <w:sz w:val="22"/>
                <w:szCs w:val="22"/>
              </w:rPr>
              <w:t>3 762 336,1</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b/>
                <w:bCs/>
                <w:i/>
                <w:iCs/>
                <w:sz w:val="22"/>
                <w:szCs w:val="22"/>
              </w:rPr>
            </w:pPr>
            <w:r w:rsidRPr="005D2590">
              <w:rPr>
                <w:b/>
                <w:bCs/>
                <w:i/>
                <w:iCs/>
                <w:sz w:val="22"/>
                <w:szCs w:val="22"/>
              </w:rPr>
              <w:t>3 804 146,6</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41 810,5</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1,1%</w:t>
            </w:r>
          </w:p>
        </w:tc>
      </w:tr>
      <w:tr w:rsidR="005D2590" w:rsidRPr="005D2590" w:rsidTr="005D2590">
        <w:trPr>
          <w:trHeight w:val="34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D2590" w:rsidRPr="005D2590" w:rsidRDefault="005D2590" w:rsidP="005D2590">
            <w:pPr>
              <w:jc w:val="center"/>
              <w:rPr>
                <w:b/>
                <w:bCs/>
                <w:sz w:val="18"/>
                <w:szCs w:val="18"/>
              </w:rPr>
            </w:pPr>
            <w:r w:rsidRPr="005D2590">
              <w:rPr>
                <w:b/>
                <w:bCs/>
                <w:sz w:val="18"/>
                <w:szCs w:val="18"/>
              </w:rPr>
              <w:t>1.1</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5D2590" w:rsidRPr="005D2590" w:rsidRDefault="005D2590" w:rsidP="005D2590">
            <w:pPr>
              <w:jc w:val="center"/>
              <w:rPr>
                <w:b/>
                <w:bCs/>
                <w:sz w:val="20"/>
                <w:szCs w:val="20"/>
              </w:rPr>
            </w:pPr>
            <w:r w:rsidRPr="005D2590">
              <w:rPr>
                <w:b/>
                <w:bCs/>
                <w:sz w:val="20"/>
                <w:szCs w:val="20"/>
              </w:rPr>
              <w:t>Налоговые и неналоговые доходы</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b/>
                <w:bCs/>
                <w:sz w:val="22"/>
                <w:szCs w:val="22"/>
              </w:rPr>
            </w:pPr>
            <w:r w:rsidRPr="005D2590">
              <w:rPr>
                <w:b/>
                <w:bCs/>
                <w:sz w:val="22"/>
                <w:szCs w:val="22"/>
              </w:rPr>
              <w:t>1 176 805,5</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b/>
                <w:bCs/>
                <w:sz w:val="22"/>
                <w:szCs w:val="22"/>
              </w:rPr>
            </w:pPr>
            <w:r w:rsidRPr="005D2590">
              <w:rPr>
                <w:b/>
                <w:bCs/>
                <w:sz w:val="22"/>
                <w:szCs w:val="22"/>
              </w:rPr>
              <w:t>1 209 190,0</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32 384,5</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2,8%</w:t>
            </w:r>
          </w:p>
        </w:tc>
      </w:tr>
      <w:tr w:rsidR="005D2590" w:rsidRPr="005D2590" w:rsidTr="005D2590">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5D2590" w:rsidRPr="005D2590" w:rsidRDefault="005D2590" w:rsidP="005D2590">
            <w:pPr>
              <w:jc w:val="center"/>
              <w:rPr>
                <w:b/>
                <w:bCs/>
                <w:sz w:val="18"/>
                <w:szCs w:val="18"/>
              </w:rPr>
            </w:pPr>
            <w:r w:rsidRPr="005D2590">
              <w:rPr>
                <w:b/>
                <w:bCs/>
                <w:sz w:val="18"/>
                <w:szCs w:val="18"/>
              </w:rPr>
              <w:t> </w:t>
            </w: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5D2590" w:rsidRPr="005D2590" w:rsidRDefault="005D2590" w:rsidP="005D2590">
            <w:pPr>
              <w:jc w:val="center"/>
              <w:rPr>
                <w:b/>
                <w:bCs/>
                <w:sz w:val="20"/>
                <w:szCs w:val="20"/>
              </w:rPr>
            </w:pPr>
            <w:r w:rsidRPr="005D2590">
              <w:rPr>
                <w:b/>
                <w:bCs/>
                <w:sz w:val="20"/>
                <w:szCs w:val="20"/>
              </w:rPr>
              <w:t xml:space="preserve">Налоговые доходы </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b/>
                <w:bCs/>
                <w:sz w:val="22"/>
                <w:szCs w:val="22"/>
              </w:rPr>
            </w:pPr>
            <w:r w:rsidRPr="005D2590">
              <w:rPr>
                <w:b/>
                <w:bCs/>
                <w:sz w:val="22"/>
                <w:szCs w:val="22"/>
              </w:rPr>
              <w:t>964 997,7</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b/>
                <w:bCs/>
                <w:sz w:val="22"/>
                <w:szCs w:val="22"/>
              </w:rPr>
            </w:pPr>
            <w:r w:rsidRPr="005D2590">
              <w:rPr>
                <w:b/>
                <w:bCs/>
                <w:sz w:val="22"/>
                <w:szCs w:val="22"/>
              </w:rPr>
              <w:t>976 708,8</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11 711,0</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1,2%</w:t>
            </w:r>
          </w:p>
        </w:tc>
      </w:tr>
      <w:tr w:rsidR="005D2590" w:rsidRPr="005D2590" w:rsidTr="005D2590">
        <w:trPr>
          <w:trHeight w:val="300"/>
        </w:trPr>
        <w:tc>
          <w:tcPr>
            <w:tcW w:w="441" w:type="dxa"/>
            <w:vMerge w:val="restart"/>
            <w:tcBorders>
              <w:top w:val="nil"/>
              <w:left w:val="single" w:sz="4" w:space="0" w:color="auto"/>
              <w:bottom w:val="nil"/>
              <w:right w:val="single" w:sz="4" w:space="0" w:color="auto"/>
            </w:tcBorders>
            <w:shd w:val="clear" w:color="auto" w:fill="auto"/>
            <w:vAlign w:val="center"/>
            <w:hideMark/>
          </w:tcPr>
          <w:p w:rsidR="005D2590" w:rsidRPr="005D2590" w:rsidRDefault="005D2590" w:rsidP="005D2590">
            <w:pPr>
              <w:jc w:val="center"/>
              <w:rPr>
                <w:sz w:val="18"/>
                <w:szCs w:val="18"/>
              </w:rPr>
            </w:pPr>
            <w:r w:rsidRPr="005D2590">
              <w:rPr>
                <w:sz w:val="18"/>
                <w:szCs w:val="18"/>
              </w:rPr>
              <w:t> </w:t>
            </w: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5D2590" w:rsidRPr="005D2590" w:rsidRDefault="005D2590" w:rsidP="005D2590">
            <w:pPr>
              <w:rPr>
                <w:sz w:val="20"/>
                <w:szCs w:val="20"/>
              </w:rPr>
            </w:pPr>
            <w:r w:rsidRPr="005D2590">
              <w:rPr>
                <w:sz w:val="20"/>
                <w:szCs w:val="20"/>
              </w:rPr>
              <w:t>налог на доходы физических лиц</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774 047,0</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757 687,7</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-16 359,3</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-2,1%</w:t>
            </w:r>
          </w:p>
        </w:tc>
      </w:tr>
      <w:tr w:rsidR="005D2590" w:rsidRPr="005D2590" w:rsidTr="005D2590">
        <w:trPr>
          <w:trHeight w:val="540"/>
        </w:trPr>
        <w:tc>
          <w:tcPr>
            <w:tcW w:w="441" w:type="dxa"/>
            <w:vMerge/>
            <w:tcBorders>
              <w:top w:val="nil"/>
              <w:left w:val="single" w:sz="4" w:space="0" w:color="auto"/>
              <w:bottom w:val="nil"/>
              <w:right w:val="single" w:sz="4" w:space="0" w:color="auto"/>
            </w:tcBorders>
            <w:vAlign w:val="center"/>
            <w:hideMark/>
          </w:tcPr>
          <w:p w:rsidR="005D2590" w:rsidRPr="005D2590" w:rsidRDefault="005D2590" w:rsidP="005D2590">
            <w:pPr>
              <w:rPr>
                <w:sz w:val="18"/>
                <w:szCs w:val="18"/>
              </w:rPr>
            </w:pP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5D2590" w:rsidRPr="005D2590" w:rsidRDefault="005D2590" w:rsidP="005D2590">
            <w:pPr>
              <w:rPr>
                <w:sz w:val="20"/>
                <w:szCs w:val="20"/>
              </w:rPr>
            </w:pPr>
            <w:r w:rsidRPr="005D2590">
              <w:rPr>
                <w:sz w:val="20"/>
                <w:szCs w:val="20"/>
              </w:rPr>
              <w:t>налоги на реализуемые товары (работы, услуги)</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18 605,1</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18 605,1</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0,0</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0,0%</w:t>
            </w:r>
          </w:p>
        </w:tc>
      </w:tr>
      <w:tr w:rsidR="005D2590" w:rsidRPr="005D2590" w:rsidTr="005D2590">
        <w:trPr>
          <w:trHeight w:val="300"/>
        </w:trPr>
        <w:tc>
          <w:tcPr>
            <w:tcW w:w="441" w:type="dxa"/>
            <w:vMerge/>
            <w:tcBorders>
              <w:top w:val="nil"/>
              <w:left w:val="single" w:sz="4" w:space="0" w:color="auto"/>
              <w:bottom w:val="nil"/>
              <w:right w:val="single" w:sz="4" w:space="0" w:color="auto"/>
            </w:tcBorders>
            <w:vAlign w:val="center"/>
            <w:hideMark/>
          </w:tcPr>
          <w:p w:rsidR="005D2590" w:rsidRPr="005D2590" w:rsidRDefault="005D2590" w:rsidP="005D2590">
            <w:pPr>
              <w:rPr>
                <w:sz w:val="18"/>
                <w:szCs w:val="18"/>
              </w:rPr>
            </w:pP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5D2590" w:rsidRPr="005D2590" w:rsidRDefault="005D2590" w:rsidP="005D2590">
            <w:pPr>
              <w:rPr>
                <w:sz w:val="20"/>
                <w:szCs w:val="20"/>
              </w:rPr>
            </w:pPr>
            <w:r w:rsidRPr="005D2590">
              <w:rPr>
                <w:sz w:val="20"/>
                <w:szCs w:val="20"/>
              </w:rPr>
              <w:t>налоги на совокупный доход</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151 857,2</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177 602,2</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25 745,0</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17,0%</w:t>
            </w:r>
          </w:p>
        </w:tc>
      </w:tr>
      <w:tr w:rsidR="005D2590" w:rsidRPr="005D2590" w:rsidTr="005D2590">
        <w:trPr>
          <w:trHeight w:val="300"/>
        </w:trPr>
        <w:tc>
          <w:tcPr>
            <w:tcW w:w="441" w:type="dxa"/>
            <w:vMerge/>
            <w:tcBorders>
              <w:top w:val="nil"/>
              <w:left w:val="single" w:sz="4" w:space="0" w:color="auto"/>
              <w:bottom w:val="nil"/>
              <w:right w:val="single" w:sz="4" w:space="0" w:color="auto"/>
            </w:tcBorders>
            <w:vAlign w:val="center"/>
            <w:hideMark/>
          </w:tcPr>
          <w:p w:rsidR="005D2590" w:rsidRPr="005D2590" w:rsidRDefault="005D2590" w:rsidP="005D2590">
            <w:pPr>
              <w:rPr>
                <w:sz w:val="18"/>
                <w:szCs w:val="18"/>
              </w:rPr>
            </w:pP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5D2590" w:rsidRPr="005D2590" w:rsidRDefault="005D2590" w:rsidP="005D2590">
            <w:pPr>
              <w:rPr>
                <w:sz w:val="20"/>
                <w:szCs w:val="20"/>
              </w:rPr>
            </w:pPr>
            <w:r w:rsidRPr="005D2590">
              <w:rPr>
                <w:sz w:val="20"/>
                <w:szCs w:val="20"/>
              </w:rPr>
              <w:t>налоги на имущество</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10 914,1</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10 786,1</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-128,0</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-1,2%</w:t>
            </w:r>
          </w:p>
        </w:tc>
      </w:tr>
      <w:tr w:rsidR="005D2590" w:rsidRPr="005D2590" w:rsidTr="005D2590">
        <w:trPr>
          <w:trHeight w:val="300"/>
        </w:trPr>
        <w:tc>
          <w:tcPr>
            <w:tcW w:w="441" w:type="dxa"/>
            <w:vMerge/>
            <w:tcBorders>
              <w:top w:val="nil"/>
              <w:left w:val="single" w:sz="4" w:space="0" w:color="auto"/>
              <w:bottom w:val="nil"/>
              <w:right w:val="single" w:sz="4" w:space="0" w:color="auto"/>
            </w:tcBorders>
            <w:vAlign w:val="center"/>
            <w:hideMark/>
          </w:tcPr>
          <w:p w:rsidR="005D2590" w:rsidRPr="005D2590" w:rsidRDefault="005D2590" w:rsidP="005D2590">
            <w:pPr>
              <w:rPr>
                <w:sz w:val="18"/>
                <w:szCs w:val="18"/>
              </w:rPr>
            </w:pP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5D2590" w:rsidRPr="005D2590" w:rsidRDefault="005D2590" w:rsidP="005D2590">
            <w:pPr>
              <w:rPr>
                <w:sz w:val="20"/>
                <w:szCs w:val="20"/>
              </w:rPr>
            </w:pPr>
            <w:r w:rsidRPr="005D2590">
              <w:rPr>
                <w:sz w:val="20"/>
                <w:szCs w:val="20"/>
              </w:rPr>
              <w:t>государственная пошлина</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9 574,3</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12 027,7</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2 453,4</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25,6%</w:t>
            </w:r>
          </w:p>
        </w:tc>
      </w:tr>
      <w:tr w:rsidR="005D2590" w:rsidRPr="005D2590" w:rsidTr="005D2590">
        <w:trPr>
          <w:trHeight w:val="40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590" w:rsidRPr="005D2590" w:rsidRDefault="005D2590" w:rsidP="005D2590">
            <w:pPr>
              <w:jc w:val="center"/>
              <w:rPr>
                <w:b/>
                <w:bCs/>
                <w:sz w:val="18"/>
                <w:szCs w:val="18"/>
              </w:rPr>
            </w:pPr>
            <w:r w:rsidRPr="005D2590">
              <w:rPr>
                <w:b/>
                <w:bCs/>
                <w:sz w:val="18"/>
                <w:szCs w:val="18"/>
              </w:rPr>
              <w:t> </w:t>
            </w: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5D2590" w:rsidRPr="005D2590" w:rsidRDefault="005D2590" w:rsidP="005D2590">
            <w:pPr>
              <w:jc w:val="center"/>
              <w:rPr>
                <w:b/>
                <w:bCs/>
                <w:sz w:val="20"/>
                <w:szCs w:val="20"/>
              </w:rPr>
            </w:pPr>
            <w:r w:rsidRPr="005D2590">
              <w:rPr>
                <w:b/>
                <w:bCs/>
                <w:sz w:val="20"/>
                <w:szCs w:val="20"/>
              </w:rPr>
              <w:t>Неналоговые доходы</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b/>
                <w:bCs/>
                <w:sz w:val="22"/>
                <w:szCs w:val="22"/>
              </w:rPr>
            </w:pPr>
            <w:r w:rsidRPr="005D2590">
              <w:rPr>
                <w:b/>
                <w:bCs/>
                <w:sz w:val="22"/>
                <w:szCs w:val="22"/>
              </w:rPr>
              <w:t>211 807,8</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b/>
                <w:bCs/>
                <w:sz w:val="22"/>
                <w:szCs w:val="22"/>
              </w:rPr>
            </w:pPr>
            <w:r w:rsidRPr="005D2590">
              <w:rPr>
                <w:b/>
                <w:bCs/>
                <w:sz w:val="22"/>
                <w:szCs w:val="22"/>
              </w:rPr>
              <w:t>232 481,3</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20 673,4</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9,8%</w:t>
            </w:r>
          </w:p>
        </w:tc>
      </w:tr>
      <w:tr w:rsidR="005D2590" w:rsidRPr="005D2590" w:rsidTr="005D2590">
        <w:trPr>
          <w:trHeight w:val="750"/>
        </w:trPr>
        <w:tc>
          <w:tcPr>
            <w:tcW w:w="441" w:type="dxa"/>
            <w:vMerge w:val="restart"/>
            <w:tcBorders>
              <w:top w:val="nil"/>
              <w:left w:val="single" w:sz="4" w:space="0" w:color="auto"/>
              <w:bottom w:val="nil"/>
              <w:right w:val="single" w:sz="4" w:space="0" w:color="auto"/>
            </w:tcBorders>
            <w:shd w:val="clear" w:color="auto" w:fill="auto"/>
            <w:vAlign w:val="center"/>
            <w:hideMark/>
          </w:tcPr>
          <w:p w:rsidR="005D2590" w:rsidRPr="005D2590" w:rsidRDefault="005D2590" w:rsidP="005D2590">
            <w:pPr>
              <w:jc w:val="center"/>
              <w:rPr>
                <w:sz w:val="18"/>
                <w:szCs w:val="18"/>
              </w:rPr>
            </w:pPr>
            <w:r w:rsidRPr="005D2590">
              <w:rPr>
                <w:sz w:val="18"/>
                <w:szCs w:val="18"/>
              </w:rPr>
              <w:t> </w:t>
            </w: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5D2590" w:rsidRPr="005D2590" w:rsidRDefault="005D2590" w:rsidP="005D2590">
            <w:pPr>
              <w:jc w:val="both"/>
              <w:rPr>
                <w:sz w:val="20"/>
                <w:szCs w:val="20"/>
              </w:rPr>
            </w:pPr>
            <w:r w:rsidRPr="005D2590">
              <w:rPr>
                <w:sz w:val="20"/>
                <w:szCs w:val="20"/>
              </w:rPr>
              <w:t xml:space="preserve">доходы от использования имущества, находящегося в государственной и муниципальной собственности  </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162 052,5</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190 076,2</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28 023,7</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17,3%</w:t>
            </w:r>
          </w:p>
        </w:tc>
      </w:tr>
      <w:tr w:rsidR="005D2590" w:rsidRPr="005D2590" w:rsidTr="005D2590">
        <w:trPr>
          <w:trHeight w:val="525"/>
        </w:trPr>
        <w:tc>
          <w:tcPr>
            <w:tcW w:w="441" w:type="dxa"/>
            <w:vMerge/>
            <w:tcBorders>
              <w:top w:val="nil"/>
              <w:left w:val="single" w:sz="4" w:space="0" w:color="auto"/>
              <w:bottom w:val="nil"/>
              <w:right w:val="single" w:sz="4" w:space="0" w:color="auto"/>
            </w:tcBorders>
            <w:vAlign w:val="center"/>
            <w:hideMark/>
          </w:tcPr>
          <w:p w:rsidR="005D2590" w:rsidRPr="005D2590" w:rsidRDefault="005D2590" w:rsidP="005D2590">
            <w:pPr>
              <w:rPr>
                <w:sz w:val="18"/>
                <w:szCs w:val="18"/>
              </w:rPr>
            </w:pP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5D2590" w:rsidRPr="005D2590" w:rsidRDefault="005D2590" w:rsidP="005D2590">
            <w:pPr>
              <w:jc w:val="both"/>
              <w:rPr>
                <w:sz w:val="20"/>
                <w:szCs w:val="20"/>
              </w:rPr>
            </w:pPr>
            <w:r w:rsidRPr="005D2590">
              <w:rPr>
                <w:sz w:val="20"/>
                <w:szCs w:val="20"/>
              </w:rPr>
              <w:t>платежи при пользовании природными ресурсами</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24 914,0</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14 009,6</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-10 904,4</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-43,8%</w:t>
            </w:r>
          </w:p>
        </w:tc>
      </w:tr>
      <w:tr w:rsidR="005D2590" w:rsidRPr="005D2590" w:rsidTr="005D2590">
        <w:trPr>
          <w:trHeight w:val="480"/>
        </w:trPr>
        <w:tc>
          <w:tcPr>
            <w:tcW w:w="441" w:type="dxa"/>
            <w:vMerge/>
            <w:tcBorders>
              <w:top w:val="nil"/>
              <w:left w:val="single" w:sz="4" w:space="0" w:color="auto"/>
              <w:bottom w:val="nil"/>
              <w:right w:val="single" w:sz="4" w:space="0" w:color="auto"/>
            </w:tcBorders>
            <w:vAlign w:val="center"/>
            <w:hideMark/>
          </w:tcPr>
          <w:p w:rsidR="005D2590" w:rsidRPr="005D2590" w:rsidRDefault="005D2590" w:rsidP="005D2590">
            <w:pPr>
              <w:rPr>
                <w:sz w:val="18"/>
                <w:szCs w:val="18"/>
              </w:rPr>
            </w:pP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5D2590" w:rsidRPr="005D2590" w:rsidRDefault="005D2590" w:rsidP="005D2590">
            <w:pPr>
              <w:jc w:val="both"/>
              <w:rPr>
                <w:sz w:val="20"/>
                <w:szCs w:val="20"/>
              </w:rPr>
            </w:pPr>
            <w:r w:rsidRPr="005D2590">
              <w:rPr>
                <w:sz w:val="20"/>
                <w:szCs w:val="20"/>
              </w:rPr>
              <w:t>доходы от оказания платных услуг и компенсации затрат государства</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7 372,4</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8 098,0</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725,5</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9,8%</w:t>
            </w:r>
          </w:p>
        </w:tc>
      </w:tr>
      <w:tr w:rsidR="005D2590" w:rsidRPr="005D2590" w:rsidTr="005D2590">
        <w:trPr>
          <w:trHeight w:val="495"/>
        </w:trPr>
        <w:tc>
          <w:tcPr>
            <w:tcW w:w="441" w:type="dxa"/>
            <w:vMerge/>
            <w:tcBorders>
              <w:top w:val="nil"/>
              <w:left w:val="single" w:sz="4" w:space="0" w:color="auto"/>
              <w:bottom w:val="nil"/>
              <w:right w:val="single" w:sz="4" w:space="0" w:color="auto"/>
            </w:tcBorders>
            <w:vAlign w:val="center"/>
            <w:hideMark/>
          </w:tcPr>
          <w:p w:rsidR="005D2590" w:rsidRPr="005D2590" w:rsidRDefault="005D2590" w:rsidP="005D2590">
            <w:pPr>
              <w:rPr>
                <w:sz w:val="18"/>
                <w:szCs w:val="18"/>
              </w:rPr>
            </w:pP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5D2590" w:rsidRPr="005D2590" w:rsidRDefault="005D2590" w:rsidP="005D2590">
            <w:pPr>
              <w:jc w:val="both"/>
              <w:rPr>
                <w:sz w:val="20"/>
                <w:szCs w:val="20"/>
              </w:rPr>
            </w:pPr>
            <w:r w:rsidRPr="005D2590">
              <w:rPr>
                <w:sz w:val="20"/>
                <w:szCs w:val="20"/>
              </w:rPr>
              <w:t>доходы от продажи материальных и нематериальных активов</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13 237,4</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15 975,1</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2 737,7</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20,7%</w:t>
            </w:r>
          </w:p>
        </w:tc>
      </w:tr>
      <w:tr w:rsidR="005D2590" w:rsidRPr="005D2590" w:rsidTr="005D2590">
        <w:trPr>
          <w:trHeight w:val="495"/>
        </w:trPr>
        <w:tc>
          <w:tcPr>
            <w:tcW w:w="441" w:type="dxa"/>
            <w:vMerge/>
            <w:tcBorders>
              <w:top w:val="nil"/>
              <w:left w:val="single" w:sz="4" w:space="0" w:color="auto"/>
              <w:bottom w:val="nil"/>
              <w:right w:val="single" w:sz="4" w:space="0" w:color="auto"/>
            </w:tcBorders>
            <w:vAlign w:val="center"/>
            <w:hideMark/>
          </w:tcPr>
          <w:p w:rsidR="005D2590" w:rsidRPr="005D2590" w:rsidRDefault="005D2590" w:rsidP="005D2590">
            <w:pPr>
              <w:rPr>
                <w:sz w:val="18"/>
                <w:szCs w:val="18"/>
              </w:rPr>
            </w:pP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5D2590" w:rsidRPr="005D2590" w:rsidRDefault="005D2590" w:rsidP="005D2590">
            <w:pPr>
              <w:jc w:val="both"/>
              <w:rPr>
                <w:sz w:val="20"/>
                <w:szCs w:val="20"/>
              </w:rPr>
            </w:pPr>
            <w:r w:rsidRPr="005D2590">
              <w:rPr>
                <w:sz w:val="20"/>
                <w:szCs w:val="20"/>
              </w:rPr>
              <w:t>штрафы, санкции, возмещение ущерба</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1 705,0</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1 725,0</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20,0</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1,2%</w:t>
            </w:r>
          </w:p>
        </w:tc>
      </w:tr>
      <w:tr w:rsidR="005D2590" w:rsidRPr="005D2590" w:rsidTr="005D2590">
        <w:trPr>
          <w:trHeight w:val="300"/>
        </w:trPr>
        <w:tc>
          <w:tcPr>
            <w:tcW w:w="441" w:type="dxa"/>
            <w:vMerge/>
            <w:tcBorders>
              <w:top w:val="nil"/>
              <w:left w:val="single" w:sz="4" w:space="0" w:color="auto"/>
              <w:bottom w:val="nil"/>
              <w:right w:val="single" w:sz="4" w:space="0" w:color="auto"/>
            </w:tcBorders>
            <w:vAlign w:val="center"/>
            <w:hideMark/>
          </w:tcPr>
          <w:p w:rsidR="005D2590" w:rsidRPr="005D2590" w:rsidRDefault="005D2590" w:rsidP="005D2590">
            <w:pPr>
              <w:rPr>
                <w:sz w:val="18"/>
                <w:szCs w:val="18"/>
              </w:rPr>
            </w:pPr>
          </w:p>
        </w:tc>
        <w:tc>
          <w:tcPr>
            <w:tcW w:w="3670" w:type="dxa"/>
            <w:gridSpan w:val="2"/>
            <w:tcBorders>
              <w:top w:val="single" w:sz="4" w:space="0" w:color="auto"/>
              <w:left w:val="nil"/>
              <w:bottom w:val="single" w:sz="4" w:space="0" w:color="auto"/>
              <w:right w:val="single" w:sz="4" w:space="0" w:color="000000"/>
            </w:tcBorders>
            <w:shd w:val="clear" w:color="auto" w:fill="auto"/>
            <w:vAlign w:val="center"/>
            <w:hideMark/>
          </w:tcPr>
          <w:p w:rsidR="005D2590" w:rsidRPr="005D2590" w:rsidRDefault="005D2590" w:rsidP="005D2590">
            <w:pPr>
              <w:jc w:val="both"/>
              <w:rPr>
                <w:sz w:val="20"/>
                <w:szCs w:val="20"/>
              </w:rPr>
            </w:pPr>
            <w:r w:rsidRPr="005D2590">
              <w:rPr>
                <w:sz w:val="20"/>
                <w:szCs w:val="20"/>
              </w:rPr>
              <w:t>прочие неналоговые доходы</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2 526,5</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2 597,4</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70,9</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w:t>
            </w:r>
          </w:p>
        </w:tc>
      </w:tr>
      <w:tr w:rsidR="005D2590" w:rsidRPr="005D2590" w:rsidTr="005D2590">
        <w:trPr>
          <w:trHeight w:val="34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590" w:rsidRPr="005D2590" w:rsidRDefault="005D2590" w:rsidP="005D2590">
            <w:pPr>
              <w:jc w:val="center"/>
              <w:rPr>
                <w:b/>
                <w:bCs/>
                <w:sz w:val="18"/>
                <w:szCs w:val="18"/>
              </w:rPr>
            </w:pPr>
            <w:r w:rsidRPr="005D2590">
              <w:rPr>
                <w:b/>
                <w:bCs/>
                <w:sz w:val="18"/>
                <w:szCs w:val="18"/>
              </w:rPr>
              <w:t>1.2</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5D2590" w:rsidRPr="005D2590" w:rsidRDefault="005D2590" w:rsidP="005D2590">
            <w:pPr>
              <w:jc w:val="center"/>
              <w:rPr>
                <w:b/>
                <w:bCs/>
                <w:sz w:val="20"/>
                <w:szCs w:val="20"/>
              </w:rPr>
            </w:pPr>
            <w:r w:rsidRPr="005D2590">
              <w:rPr>
                <w:b/>
                <w:bCs/>
                <w:sz w:val="20"/>
                <w:szCs w:val="20"/>
              </w:rPr>
              <w:t>Безвозмездные поступления</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b/>
                <w:bCs/>
                <w:sz w:val="22"/>
                <w:szCs w:val="22"/>
              </w:rPr>
            </w:pPr>
            <w:r w:rsidRPr="005D2590">
              <w:rPr>
                <w:b/>
                <w:bCs/>
                <w:sz w:val="22"/>
                <w:szCs w:val="22"/>
              </w:rPr>
              <w:t>2 585 530,5</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b/>
                <w:bCs/>
                <w:sz w:val="22"/>
                <w:szCs w:val="22"/>
              </w:rPr>
            </w:pPr>
            <w:r w:rsidRPr="005D2590">
              <w:rPr>
                <w:b/>
                <w:bCs/>
                <w:sz w:val="22"/>
                <w:szCs w:val="22"/>
              </w:rPr>
              <w:t>2 594 956,6</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9 426,0</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0,4%</w:t>
            </w:r>
          </w:p>
        </w:tc>
      </w:tr>
      <w:tr w:rsidR="005D2590" w:rsidRPr="005D2590" w:rsidTr="005D2590">
        <w:trPr>
          <w:trHeight w:val="570"/>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5D2590" w:rsidRPr="005D2590" w:rsidRDefault="005D2590" w:rsidP="005D2590">
            <w:pPr>
              <w:jc w:val="center"/>
              <w:rPr>
                <w:sz w:val="18"/>
                <w:szCs w:val="18"/>
              </w:rPr>
            </w:pPr>
            <w:r w:rsidRPr="005D2590">
              <w:rPr>
                <w:sz w:val="18"/>
                <w:szCs w:val="18"/>
              </w:rPr>
              <w:t> </w:t>
            </w:r>
          </w:p>
        </w:tc>
        <w:tc>
          <w:tcPr>
            <w:tcW w:w="3670" w:type="dxa"/>
            <w:gridSpan w:val="2"/>
            <w:tcBorders>
              <w:top w:val="single" w:sz="4" w:space="0" w:color="auto"/>
              <w:left w:val="nil"/>
              <w:bottom w:val="single" w:sz="4" w:space="0" w:color="auto"/>
              <w:right w:val="single" w:sz="4" w:space="0" w:color="auto"/>
            </w:tcBorders>
            <w:shd w:val="clear" w:color="auto" w:fill="auto"/>
            <w:vAlign w:val="center"/>
            <w:hideMark/>
          </w:tcPr>
          <w:p w:rsidR="005D2590" w:rsidRPr="005D2590" w:rsidRDefault="005D2590" w:rsidP="005D2590">
            <w:pPr>
              <w:rPr>
                <w:sz w:val="20"/>
                <w:szCs w:val="20"/>
              </w:rPr>
            </w:pPr>
            <w:r w:rsidRPr="005D2590">
              <w:rPr>
                <w:sz w:val="20"/>
                <w:szCs w:val="20"/>
              </w:rPr>
              <w:t>безвозмездные поступления от других бюджетов бюджетной системы РФ, 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b/>
                <w:bCs/>
                <w:sz w:val="22"/>
                <w:szCs w:val="22"/>
              </w:rPr>
            </w:pPr>
            <w:r w:rsidRPr="005D2590">
              <w:rPr>
                <w:b/>
                <w:bCs/>
                <w:sz w:val="22"/>
                <w:szCs w:val="22"/>
              </w:rPr>
              <w:t>2 446 088,8</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b/>
                <w:bCs/>
                <w:sz w:val="22"/>
                <w:szCs w:val="22"/>
              </w:rPr>
            </w:pPr>
            <w:r w:rsidRPr="005D2590">
              <w:rPr>
                <w:b/>
                <w:bCs/>
                <w:sz w:val="22"/>
                <w:szCs w:val="22"/>
              </w:rPr>
              <w:t>2 422 437,1</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-23 651,8</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-1,0%</w:t>
            </w:r>
          </w:p>
        </w:tc>
      </w:tr>
      <w:tr w:rsidR="005D2590" w:rsidRPr="005D2590" w:rsidTr="005D2590">
        <w:trPr>
          <w:trHeight w:val="300"/>
        </w:trPr>
        <w:tc>
          <w:tcPr>
            <w:tcW w:w="441" w:type="dxa"/>
            <w:vMerge/>
            <w:tcBorders>
              <w:top w:val="nil"/>
              <w:left w:val="single" w:sz="4" w:space="0" w:color="auto"/>
              <w:bottom w:val="single" w:sz="4" w:space="0" w:color="000000"/>
              <w:right w:val="single" w:sz="4" w:space="0" w:color="auto"/>
            </w:tcBorders>
            <w:vAlign w:val="center"/>
            <w:hideMark/>
          </w:tcPr>
          <w:p w:rsidR="005D2590" w:rsidRPr="005D2590" w:rsidRDefault="005D2590" w:rsidP="005D2590">
            <w:pPr>
              <w:rPr>
                <w:sz w:val="18"/>
                <w:szCs w:val="18"/>
              </w:rPr>
            </w:pPr>
          </w:p>
        </w:tc>
        <w:tc>
          <w:tcPr>
            <w:tcW w:w="380" w:type="dxa"/>
            <w:vMerge w:val="restart"/>
            <w:tcBorders>
              <w:top w:val="nil"/>
              <w:left w:val="single" w:sz="4" w:space="0" w:color="auto"/>
              <w:bottom w:val="single" w:sz="4" w:space="0" w:color="000000"/>
              <w:right w:val="single" w:sz="4" w:space="0" w:color="auto"/>
            </w:tcBorders>
            <w:shd w:val="clear" w:color="auto" w:fill="auto"/>
            <w:vAlign w:val="center"/>
            <w:hideMark/>
          </w:tcPr>
          <w:p w:rsidR="005D2590" w:rsidRPr="005D2590" w:rsidRDefault="005D2590" w:rsidP="005D2590">
            <w:pPr>
              <w:jc w:val="center"/>
              <w:rPr>
                <w:sz w:val="20"/>
                <w:szCs w:val="20"/>
              </w:rPr>
            </w:pPr>
            <w:r w:rsidRPr="005D2590">
              <w:rPr>
                <w:sz w:val="20"/>
                <w:szCs w:val="20"/>
              </w:rPr>
              <w:t> </w:t>
            </w:r>
          </w:p>
        </w:tc>
        <w:tc>
          <w:tcPr>
            <w:tcW w:w="329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rPr>
                <w:sz w:val="20"/>
                <w:szCs w:val="20"/>
              </w:rPr>
            </w:pPr>
            <w:r w:rsidRPr="005D2590">
              <w:rPr>
                <w:sz w:val="20"/>
                <w:szCs w:val="20"/>
              </w:rPr>
              <w:t>дотации</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282 505,9</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284 227,2</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1 721,3</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0,6%</w:t>
            </w:r>
          </w:p>
        </w:tc>
      </w:tr>
      <w:tr w:rsidR="005D2590" w:rsidRPr="005D2590" w:rsidTr="005D2590">
        <w:trPr>
          <w:trHeight w:val="345"/>
        </w:trPr>
        <w:tc>
          <w:tcPr>
            <w:tcW w:w="441" w:type="dxa"/>
            <w:vMerge/>
            <w:tcBorders>
              <w:top w:val="nil"/>
              <w:left w:val="single" w:sz="4" w:space="0" w:color="auto"/>
              <w:bottom w:val="single" w:sz="4" w:space="0" w:color="000000"/>
              <w:right w:val="single" w:sz="4" w:space="0" w:color="auto"/>
            </w:tcBorders>
            <w:vAlign w:val="center"/>
            <w:hideMark/>
          </w:tcPr>
          <w:p w:rsidR="005D2590" w:rsidRPr="005D2590" w:rsidRDefault="005D2590" w:rsidP="005D2590">
            <w:pPr>
              <w:rPr>
                <w:sz w:val="18"/>
                <w:szCs w:val="18"/>
              </w:rPr>
            </w:pPr>
          </w:p>
        </w:tc>
        <w:tc>
          <w:tcPr>
            <w:tcW w:w="380" w:type="dxa"/>
            <w:vMerge/>
            <w:tcBorders>
              <w:top w:val="nil"/>
              <w:left w:val="single" w:sz="4" w:space="0" w:color="auto"/>
              <w:bottom w:val="single" w:sz="4" w:space="0" w:color="000000"/>
              <w:right w:val="single" w:sz="4" w:space="0" w:color="auto"/>
            </w:tcBorders>
            <w:vAlign w:val="center"/>
            <w:hideMark/>
          </w:tcPr>
          <w:p w:rsidR="005D2590" w:rsidRPr="005D2590" w:rsidRDefault="005D2590" w:rsidP="005D2590">
            <w:pPr>
              <w:rPr>
                <w:sz w:val="20"/>
                <w:szCs w:val="20"/>
              </w:rPr>
            </w:pPr>
          </w:p>
        </w:tc>
        <w:tc>
          <w:tcPr>
            <w:tcW w:w="329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rPr>
                <w:sz w:val="20"/>
                <w:szCs w:val="20"/>
              </w:rPr>
            </w:pPr>
            <w:r w:rsidRPr="005D2590">
              <w:rPr>
                <w:sz w:val="20"/>
                <w:szCs w:val="20"/>
              </w:rPr>
              <w:t>субсидии</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914 469,8</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911 134,3</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-3 335,5</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-0,4%</w:t>
            </w:r>
          </w:p>
        </w:tc>
      </w:tr>
      <w:tr w:rsidR="005D2590" w:rsidRPr="005D2590" w:rsidTr="005D2590">
        <w:trPr>
          <w:trHeight w:val="420"/>
        </w:trPr>
        <w:tc>
          <w:tcPr>
            <w:tcW w:w="441" w:type="dxa"/>
            <w:vMerge/>
            <w:tcBorders>
              <w:top w:val="nil"/>
              <w:left w:val="single" w:sz="4" w:space="0" w:color="auto"/>
              <w:bottom w:val="single" w:sz="4" w:space="0" w:color="000000"/>
              <w:right w:val="single" w:sz="4" w:space="0" w:color="auto"/>
            </w:tcBorders>
            <w:vAlign w:val="center"/>
            <w:hideMark/>
          </w:tcPr>
          <w:p w:rsidR="005D2590" w:rsidRPr="005D2590" w:rsidRDefault="005D2590" w:rsidP="005D2590">
            <w:pPr>
              <w:rPr>
                <w:sz w:val="18"/>
                <w:szCs w:val="18"/>
              </w:rPr>
            </w:pPr>
          </w:p>
        </w:tc>
        <w:tc>
          <w:tcPr>
            <w:tcW w:w="380" w:type="dxa"/>
            <w:vMerge/>
            <w:tcBorders>
              <w:top w:val="nil"/>
              <w:left w:val="single" w:sz="4" w:space="0" w:color="auto"/>
              <w:bottom w:val="single" w:sz="4" w:space="0" w:color="000000"/>
              <w:right w:val="single" w:sz="4" w:space="0" w:color="auto"/>
            </w:tcBorders>
            <w:vAlign w:val="center"/>
            <w:hideMark/>
          </w:tcPr>
          <w:p w:rsidR="005D2590" w:rsidRPr="005D2590" w:rsidRDefault="005D2590" w:rsidP="005D2590">
            <w:pPr>
              <w:rPr>
                <w:sz w:val="20"/>
                <w:szCs w:val="20"/>
              </w:rPr>
            </w:pPr>
          </w:p>
        </w:tc>
        <w:tc>
          <w:tcPr>
            <w:tcW w:w="329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rPr>
                <w:sz w:val="20"/>
                <w:szCs w:val="20"/>
              </w:rPr>
            </w:pPr>
            <w:r w:rsidRPr="005D2590">
              <w:rPr>
                <w:sz w:val="20"/>
                <w:szCs w:val="20"/>
              </w:rPr>
              <w:t>субвенции</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1 145 409,2</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1 106 374,8</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-39 034,4</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-3,4%</w:t>
            </w:r>
          </w:p>
        </w:tc>
      </w:tr>
      <w:tr w:rsidR="005D2590" w:rsidRPr="005D2590" w:rsidTr="005D2590">
        <w:trPr>
          <w:trHeight w:val="300"/>
        </w:trPr>
        <w:tc>
          <w:tcPr>
            <w:tcW w:w="441" w:type="dxa"/>
            <w:vMerge/>
            <w:tcBorders>
              <w:top w:val="nil"/>
              <w:left w:val="single" w:sz="4" w:space="0" w:color="auto"/>
              <w:bottom w:val="single" w:sz="4" w:space="0" w:color="000000"/>
              <w:right w:val="single" w:sz="4" w:space="0" w:color="auto"/>
            </w:tcBorders>
            <w:vAlign w:val="center"/>
            <w:hideMark/>
          </w:tcPr>
          <w:p w:rsidR="005D2590" w:rsidRPr="005D2590" w:rsidRDefault="005D2590" w:rsidP="005D2590">
            <w:pPr>
              <w:rPr>
                <w:sz w:val="18"/>
                <w:szCs w:val="18"/>
              </w:rPr>
            </w:pPr>
          </w:p>
        </w:tc>
        <w:tc>
          <w:tcPr>
            <w:tcW w:w="380" w:type="dxa"/>
            <w:vMerge/>
            <w:tcBorders>
              <w:top w:val="nil"/>
              <w:left w:val="single" w:sz="4" w:space="0" w:color="auto"/>
              <w:bottom w:val="single" w:sz="4" w:space="0" w:color="000000"/>
              <w:right w:val="single" w:sz="4" w:space="0" w:color="auto"/>
            </w:tcBorders>
            <w:vAlign w:val="center"/>
            <w:hideMark/>
          </w:tcPr>
          <w:p w:rsidR="005D2590" w:rsidRPr="005D2590" w:rsidRDefault="005D2590" w:rsidP="005D2590">
            <w:pPr>
              <w:rPr>
                <w:sz w:val="20"/>
                <w:szCs w:val="20"/>
              </w:rPr>
            </w:pPr>
          </w:p>
        </w:tc>
        <w:tc>
          <w:tcPr>
            <w:tcW w:w="329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rPr>
                <w:sz w:val="20"/>
                <w:szCs w:val="20"/>
              </w:rPr>
            </w:pPr>
            <w:r w:rsidRPr="005D2590">
              <w:rPr>
                <w:sz w:val="20"/>
                <w:szCs w:val="20"/>
              </w:rPr>
              <w:t>иные межбюджетные трансферты</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103 703,9</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120 700,7</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16 996,8</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16,4%</w:t>
            </w:r>
          </w:p>
        </w:tc>
      </w:tr>
      <w:tr w:rsidR="005D2590" w:rsidRPr="005D2590" w:rsidTr="005D2590">
        <w:trPr>
          <w:trHeight w:val="585"/>
        </w:trPr>
        <w:tc>
          <w:tcPr>
            <w:tcW w:w="441" w:type="dxa"/>
            <w:vMerge/>
            <w:tcBorders>
              <w:top w:val="nil"/>
              <w:left w:val="single" w:sz="4" w:space="0" w:color="auto"/>
              <w:bottom w:val="single" w:sz="4" w:space="0" w:color="000000"/>
              <w:right w:val="single" w:sz="4" w:space="0" w:color="auto"/>
            </w:tcBorders>
            <w:vAlign w:val="center"/>
            <w:hideMark/>
          </w:tcPr>
          <w:p w:rsidR="005D2590" w:rsidRPr="005D2590" w:rsidRDefault="005D2590" w:rsidP="005D2590">
            <w:pPr>
              <w:rPr>
                <w:sz w:val="18"/>
                <w:szCs w:val="18"/>
              </w:rPr>
            </w:pPr>
          </w:p>
        </w:tc>
        <w:tc>
          <w:tcPr>
            <w:tcW w:w="3670" w:type="dxa"/>
            <w:gridSpan w:val="2"/>
            <w:tcBorders>
              <w:top w:val="nil"/>
              <w:left w:val="nil"/>
              <w:bottom w:val="single" w:sz="4" w:space="0" w:color="auto"/>
              <w:right w:val="single" w:sz="4" w:space="0" w:color="000000"/>
            </w:tcBorders>
            <w:shd w:val="clear" w:color="auto" w:fill="auto"/>
            <w:vAlign w:val="center"/>
            <w:hideMark/>
          </w:tcPr>
          <w:p w:rsidR="005D2590" w:rsidRPr="005D2590" w:rsidRDefault="005D2590" w:rsidP="005D2590">
            <w:pPr>
              <w:jc w:val="both"/>
              <w:rPr>
                <w:sz w:val="20"/>
                <w:szCs w:val="20"/>
              </w:rPr>
            </w:pPr>
            <w:r w:rsidRPr="005D2590">
              <w:rPr>
                <w:sz w:val="20"/>
                <w:szCs w:val="20"/>
              </w:rPr>
              <w:t>Безвозмездные поступления от негосударственных организаций</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128 555,9</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128 555,9</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0,0</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1,0</w:t>
            </w:r>
          </w:p>
        </w:tc>
      </w:tr>
      <w:tr w:rsidR="005D2590" w:rsidRPr="005D2590" w:rsidTr="005D2590">
        <w:trPr>
          <w:trHeight w:val="1496"/>
        </w:trPr>
        <w:tc>
          <w:tcPr>
            <w:tcW w:w="441" w:type="dxa"/>
            <w:vMerge/>
            <w:tcBorders>
              <w:top w:val="nil"/>
              <w:left w:val="single" w:sz="4" w:space="0" w:color="auto"/>
              <w:bottom w:val="single" w:sz="4" w:space="0" w:color="000000"/>
              <w:right w:val="single" w:sz="4" w:space="0" w:color="auto"/>
            </w:tcBorders>
            <w:vAlign w:val="center"/>
            <w:hideMark/>
          </w:tcPr>
          <w:p w:rsidR="005D2590" w:rsidRPr="005D2590" w:rsidRDefault="005D2590" w:rsidP="005D2590">
            <w:pPr>
              <w:rPr>
                <w:sz w:val="18"/>
                <w:szCs w:val="18"/>
              </w:rPr>
            </w:pPr>
          </w:p>
        </w:tc>
        <w:tc>
          <w:tcPr>
            <w:tcW w:w="3670" w:type="dxa"/>
            <w:gridSpan w:val="2"/>
            <w:tcBorders>
              <w:top w:val="nil"/>
              <w:left w:val="nil"/>
              <w:bottom w:val="single" w:sz="4" w:space="0" w:color="auto"/>
              <w:right w:val="single" w:sz="4" w:space="0" w:color="000000"/>
            </w:tcBorders>
            <w:shd w:val="clear" w:color="auto" w:fill="auto"/>
            <w:vAlign w:val="center"/>
            <w:hideMark/>
          </w:tcPr>
          <w:p w:rsidR="005D2590" w:rsidRPr="005D2590" w:rsidRDefault="005D2590" w:rsidP="005D2590">
            <w:pPr>
              <w:spacing w:after="240"/>
              <w:jc w:val="both"/>
              <w:rPr>
                <w:sz w:val="20"/>
                <w:szCs w:val="20"/>
              </w:rPr>
            </w:pPr>
            <w:r w:rsidRPr="005D2590">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4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10 885,8</w:t>
            </w:r>
          </w:p>
        </w:tc>
        <w:tc>
          <w:tcPr>
            <w:tcW w:w="1660" w:type="dxa"/>
            <w:tcBorders>
              <w:top w:val="nil"/>
              <w:left w:val="nil"/>
              <w:bottom w:val="single" w:sz="4" w:space="0" w:color="auto"/>
              <w:right w:val="single" w:sz="4" w:space="0" w:color="auto"/>
            </w:tcBorders>
            <w:shd w:val="clear" w:color="auto" w:fill="auto"/>
            <w:vAlign w:val="center"/>
            <w:hideMark/>
          </w:tcPr>
          <w:p w:rsidR="005D2590" w:rsidRPr="005D2590" w:rsidRDefault="005D2590" w:rsidP="005D2590">
            <w:pPr>
              <w:jc w:val="right"/>
              <w:rPr>
                <w:color w:val="000000"/>
                <w:sz w:val="22"/>
                <w:szCs w:val="22"/>
              </w:rPr>
            </w:pPr>
            <w:r w:rsidRPr="005D2590">
              <w:rPr>
                <w:color w:val="000000"/>
                <w:sz w:val="22"/>
                <w:szCs w:val="22"/>
              </w:rPr>
              <w:t>43 963,6</w:t>
            </w:r>
          </w:p>
        </w:tc>
        <w:tc>
          <w:tcPr>
            <w:tcW w:w="1140" w:type="dxa"/>
            <w:tcBorders>
              <w:top w:val="nil"/>
              <w:left w:val="nil"/>
              <w:bottom w:val="single" w:sz="4" w:space="0" w:color="auto"/>
              <w:right w:val="single" w:sz="4" w:space="0" w:color="auto"/>
            </w:tcBorders>
            <w:shd w:val="clear" w:color="000000" w:fill="EBF1DE"/>
            <w:noWrap/>
            <w:vAlign w:val="center"/>
            <w:hideMark/>
          </w:tcPr>
          <w:p w:rsidR="005D2590" w:rsidRPr="005D2590" w:rsidRDefault="005D2590" w:rsidP="005D2590">
            <w:pPr>
              <w:jc w:val="right"/>
              <w:rPr>
                <w:b/>
                <w:bCs/>
                <w:i/>
                <w:iCs/>
                <w:sz w:val="22"/>
                <w:szCs w:val="22"/>
              </w:rPr>
            </w:pPr>
            <w:r w:rsidRPr="005D2590">
              <w:rPr>
                <w:b/>
                <w:bCs/>
                <w:i/>
                <w:iCs/>
                <w:sz w:val="22"/>
                <w:szCs w:val="22"/>
              </w:rPr>
              <w:t>33 077,8</w:t>
            </w:r>
          </w:p>
        </w:tc>
        <w:tc>
          <w:tcPr>
            <w:tcW w:w="889" w:type="dxa"/>
            <w:tcBorders>
              <w:top w:val="nil"/>
              <w:left w:val="nil"/>
              <w:bottom w:val="single" w:sz="4" w:space="0" w:color="auto"/>
              <w:right w:val="single" w:sz="4" w:space="0" w:color="auto"/>
            </w:tcBorders>
            <w:shd w:val="clear" w:color="000000" w:fill="EBF1DE"/>
            <w:vAlign w:val="center"/>
            <w:hideMark/>
          </w:tcPr>
          <w:p w:rsidR="005D2590" w:rsidRPr="005D2590" w:rsidRDefault="005D2590" w:rsidP="005D2590">
            <w:pPr>
              <w:jc w:val="right"/>
              <w:rPr>
                <w:b/>
                <w:bCs/>
                <w:i/>
                <w:iCs/>
                <w:sz w:val="22"/>
                <w:szCs w:val="22"/>
              </w:rPr>
            </w:pPr>
            <w:r w:rsidRPr="005D2590">
              <w:rPr>
                <w:b/>
                <w:bCs/>
                <w:i/>
                <w:iCs/>
                <w:sz w:val="22"/>
                <w:szCs w:val="22"/>
              </w:rPr>
              <w:t>-</w:t>
            </w:r>
          </w:p>
        </w:tc>
      </w:tr>
    </w:tbl>
    <w:p w:rsidR="005D2590" w:rsidRDefault="005D2590" w:rsidP="003E679D">
      <w:pPr>
        <w:jc w:val="right"/>
        <w:rPr>
          <w:sz w:val="20"/>
          <w:szCs w:val="20"/>
        </w:rPr>
      </w:pPr>
    </w:p>
    <w:p w:rsidR="00C42D49" w:rsidRDefault="00C42D49" w:rsidP="003E679D">
      <w:pPr>
        <w:pStyle w:val="6"/>
        <w:spacing w:before="0" w:line="283" w:lineRule="auto"/>
        <w:rPr>
          <w:szCs w:val="28"/>
          <w:lang w:val="ru-RU"/>
        </w:rPr>
      </w:pPr>
      <w:r>
        <w:rPr>
          <w:szCs w:val="28"/>
          <w:lang w:val="ru-RU"/>
        </w:rPr>
        <w:t xml:space="preserve">Увеличение налоговых и неналоговых  доходов составило </w:t>
      </w:r>
      <w:r w:rsidR="001B4F4D">
        <w:rPr>
          <w:szCs w:val="28"/>
          <w:lang w:val="ru-RU"/>
        </w:rPr>
        <w:t>32 384,5</w:t>
      </w:r>
      <w:r>
        <w:rPr>
          <w:szCs w:val="28"/>
          <w:lang w:val="ru-RU"/>
        </w:rPr>
        <w:t xml:space="preserve"> тыс. рублей или </w:t>
      </w:r>
      <w:r w:rsidR="001B4F4D">
        <w:rPr>
          <w:szCs w:val="28"/>
          <w:lang w:val="ru-RU"/>
        </w:rPr>
        <w:t>2,8</w:t>
      </w:r>
      <w:r>
        <w:rPr>
          <w:szCs w:val="28"/>
          <w:lang w:val="ru-RU"/>
        </w:rPr>
        <w:t xml:space="preserve">% и составили </w:t>
      </w:r>
      <w:r w:rsidR="001B4F4D">
        <w:rPr>
          <w:szCs w:val="28"/>
          <w:lang w:val="ru-RU"/>
        </w:rPr>
        <w:t>1 209 190,0</w:t>
      </w:r>
      <w:r>
        <w:rPr>
          <w:szCs w:val="28"/>
          <w:lang w:val="ru-RU"/>
        </w:rPr>
        <w:t xml:space="preserve"> тыс. рублей из них:</w:t>
      </w:r>
    </w:p>
    <w:p w:rsidR="00C42D49" w:rsidRDefault="00C42D49" w:rsidP="003E679D">
      <w:pPr>
        <w:pStyle w:val="6"/>
        <w:spacing w:before="0" w:line="283" w:lineRule="auto"/>
        <w:rPr>
          <w:szCs w:val="28"/>
          <w:lang w:val="ru-RU"/>
        </w:rPr>
      </w:pPr>
      <w:r>
        <w:rPr>
          <w:szCs w:val="28"/>
          <w:lang w:val="ru-RU"/>
        </w:rPr>
        <w:t xml:space="preserve">- налоговые доходы увеличены на </w:t>
      </w:r>
      <w:r w:rsidR="001B4F4D">
        <w:rPr>
          <w:szCs w:val="28"/>
          <w:lang w:val="ru-RU"/>
        </w:rPr>
        <w:t>11 711,0</w:t>
      </w:r>
      <w:r>
        <w:rPr>
          <w:szCs w:val="28"/>
          <w:lang w:val="ru-RU"/>
        </w:rPr>
        <w:t xml:space="preserve"> тыс. рублей или </w:t>
      </w:r>
      <w:r w:rsidR="001B4F4D">
        <w:rPr>
          <w:szCs w:val="28"/>
          <w:lang w:val="ru-RU"/>
        </w:rPr>
        <w:t>1,2%</w:t>
      </w:r>
      <w:r>
        <w:rPr>
          <w:szCs w:val="28"/>
          <w:lang w:val="ru-RU"/>
        </w:rPr>
        <w:t xml:space="preserve"> и составили </w:t>
      </w:r>
      <w:r w:rsidR="001B4F4D">
        <w:rPr>
          <w:szCs w:val="28"/>
          <w:lang w:val="ru-RU"/>
        </w:rPr>
        <w:t>976 708,8</w:t>
      </w:r>
      <w:r>
        <w:rPr>
          <w:szCs w:val="28"/>
          <w:lang w:val="ru-RU"/>
        </w:rPr>
        <w:t xml:space="preserve"> тыс. рублей;</w:t>
      </w:r>
    </w:p>
    <w:p w:rsidR="00C42D49" w:rsidRDefault="00C42D49" w:rsidP="003E679D">
      <w:pPr>
        <w:pStyle w:val="6"/>
        <w:spacing w:before="0" w:line="283" w:lineRule="auto"/>
        <w:rPr>
          <w:szCs w:val="28"/>
          <w:lang w:val="ru-RU"/>
        </w:rPr>
      </w:pPr>
      <w:r>
        <w:rPr>
          <w:szCs w:val="28"/>
          <w:lang w:val="ru-RU"/>
        </w:rPr>
        <w:t xml:space="preserve">- неналоговые доходы увеличены на </w:t>
      </w:r>
      <w:r w:rsidR="001B4F4D">
        <w:rPr>
          <w:szCs w:val="28"/>
          <w:lang w:val="ru-RU"/>
        </w:rPr>
        <w:t>20 673,4</w:t>
      </w:r>
      <w:r>
        <w:rPr>
          <w:szCs w:val="28"/>
          <w:lang w:val="ru-RU"/>
        </w:rPr>
        <w:t xml:space="preserve"> тыс. рублей или </w:t>
      </w:r>
      <w:r w:rsidR="001B4F4D">
        <w:rPr>
          <w:szCs w:val="28"/>
          <w:lang w:val="ru-RU"/>
        </w:rPr>
        <w:t>9,8</w:t>
      </w:r>
      <w:r>
        <w:rPr>
          <w:szCs w:val="28"/>
          <w:lang w:val="ru-RU"/>
        </w:rPr>
        <w:t xml:space="preserve">% и составили </w:t>
      </w:r>
      <w:r w:rsidR="001B4F4D">
        <w:rPr>
          <w:szCs w:val="28"/>
          <w:lang w:val="ru-RU"/>
        </w:rPr>
        <w:t>232 481,3</w:t>
      </w:r>
      <w:r>
        <w:rPr>
          <w:szCs w:val="28"/>
          <w:lang w:val="ru-RU"/>
        </w:rPr>
        <w:t xml:space="preserve"> тыс. рублей.</w:t>
      </w:r>
    </w:p>
    <w:p w:rsidR="00C42D49" w:rsidRDefault="00C42D49" w:rsidP="003E679D">
      <w:pPr>
        <w:pStyle w:val="6"/>
        <w:spacing w:before="0" w:line="283" w:lineRule="auto"/>
        <w:rPr>
          <w:szCs w:val="28"/>
          <w:lang w:val="ru-RU"/>
        </w:rPr>
      </w:pPr>
      <w:r>
        <w:rPr>
          <w:szCs w:val="28"/>
          <w:lang w:val="ru-RU"/>
        </w:rPr>
        <w:t xml:space="preserve">Безвозмездные поступления увеличены на </w:t>
      </w:r>
      <w:r w:rsidR="001B4F4D">
        <w:rPr>
          <w:szCs w:val="28"/>
          <w:lang w:val="ru-RU"/>
        </w:rPr>
        <w:t>9 426,0</w:t>
      </w:r>
      <w:r>
        <w:rPr>
          <w:szCs w:val="28"/>
          <w:lang w:val="ru-RU"/>
        </w:rPr>
        <w:t xml:space="preserve"> тыс. рублей или </w:t>
      </w:r>
      <w:r w:rsidR="00B13EAC">
        <w:rPr>
          <w:szCs w:val="28"/>
          <w:lang w:val="ru-RU"/>
        </w:rPr>
        <w:t>0,4</w:t>
      </w:r>
      <w:r>
        <w:rPr>
          <w:szCs w:val="28"/>
          <w:lang w:val="ru-RU"/>
        </w:rPr>
        <w:t xml:space="preserve">% и составили </w:t>
      </w:r>
      <w:r w:rsidR="00B13EAC">
        <w:rPr>
          <w:szCs w:val="28"/>
          <w:lang w:val="ru-RU"/>
        </w:rPr>
        <w:t>2 594 956,6</w:t>
      </w:r>
      <w:r>
        <w:rPr>
          <w:szCs w:val="28"/>
          <w:lang w:val="ru-RU"/>
        </w:rPr>
        <w:t xml:space="preserve"> тыс. рублей из них:</w:t>
      </w:r>
    </w:p>
    <w:p w:rsidR="00B13EAC" w:rsidRDefault="00B13EAC" w:rsidP="003E679D">
      <w:pPr>
        <w:pStyle w:val="6"/>
        <w:spacing w:before="0" w:line="283" w:lineRule="auto"/>
        <w:rPr>
          <w:szCs w:val="28"/>
          <w:lang w:val="ru-RU"/>
        </w:rPr>
      </w:pPr>
      <w:r>
        <w:rPr>
          <w:szCs w:val="28"/>
          <w:lang w:val="ru-RU"/>
        </w:rPr>
        <w:lastRenderedPageBreak/>
        <w:t xml:space="preserve">- размер дотаций </w:t>
      </w:r>
      <w:r w:rsidRPr="00B13EAC">
        <w:rPr>
          <w:szCs w:val="28"/>
          <w:lang w:val="ru-RU"/>
        </w:rPr>
        <w:t>бюджетам бюджетной системы Российской Федерации</w:t>
      </w:r>
      <w:r>
        <w:rPr>
          <w:szCs w:val="28"/>
          <w:lang w:val="ru-RU"/>
        </w:rPr>
        <w:t xml:space="preserve"> увеличен на 1 721,3 тыс. рублей или на 0,6%(выделение дотации </w:t>
      </w:r>
      <w:r w:rsidRPr="00B13EAC">
        <w:rPr>
          <w:szCs w:val="28"/>
          <w:lang w:val="ru-RU"/>
        </w:rPr>
        <w:t>(гранты) бюджетам муниципальных округов за достижение показателей деятельности органов местного самоуправления</w:t>
      </w:r>
      <w:r>
        <w:rPr>
          <w:szCs w:val="28"/>
          <w:lang w:val="ru-RU"/>
        </w:rPr>
        <w:t>) и составил 284 227,2 тыс. рублей;</w:t>
      </w:r>
    </w:p>
    <w:p w:rsidR="00800FC0" w:rsidRDefault="00C42D49" w:rsidP="00800FC0">
      <w:pPr>
        <w:pStyle w:val="6"/>
        <w:spacing w:before="0" w:line="283" w:lineRule="auto"/>
        <w:rPr>
          <w:szCs w:val="28"/>
          <w:lang w:val="ru-RU"/>
        </w:rPr>
      </w:pPr>
      <w:r>
        <w:rPr>
          <w:szCs w:val="28"/>
          <w:lang w:val="ru-RU"/>
        </w:rPr>
        <w:t xml:space="preserve">-   </w:t>
      </w:r>
      <w:r w:rsidR="00800FC0" w:rsidRPr="00A35B15">
        <w:rPr>
          <w:szCs w:val="28"/>
          <w:lang w:val="ru-RU"/>
        </w:rPr>
        <w:t xml:space="preserve">размер субсидий бюджетам бюджетной системы Российской Федерации (межбюджетные субсидии) </w:t>
      </w:r>
      <w:r w:rsidR="00800FC0">
        <w:rPr>
          <w:szCs w:val="28"/>
          <w:lang w:val="ru-RU"/>
        </w:rPr>
        <w:t xml:space="preserve">уменьшены </w:t>
      </w:r>
      <w:r w:rsidR="00800FC0" w:rsidRPr="00A35B15">
        <w:rPr>
          <w:szCs w:val="28"/>
          <w:lang w:val="ru-RU"/>
        </w:rPr>
        <w:t xml:space="preserve">на сумму </w:t>
      </w:r>
      <w:r w:rsidR="00B13EAC">
        <w:rPr>
          <w:szCs w:val="28"/>
          <w:lang w:val="ru-RU"/>
        </w:rPr>
        <w:t>3 335,5</w:t>
      </w:r>
      <w:r w:rsidR="00800FC0">
        <w:rPr>
          <w:szCs w:val="28"/>
          <w:lang w:val="ru-RU"/>
        </w:rPr>
        <w:t xml:space="preserve"> тыс. рублей или на </w:t>
      </w:r>
      <w:r w:rsidR="00B13EAC">
        <w:rPr>
          <w:szCs w:val="28"/>
          <w:lang w:val="ru-RU"/>
        </w:rPr>
        <w:t>0,4</w:t>
      </w:r>
      <w:r w:rsidR="00800FC0">
        <w:rPr>
          <w:szCs w:val="28"/>
          <w:lang w:val="ru-RU"/>
        </w:rPr>
        <w:t xml:space="preserve">% и составили </w:t>
      </w:r>
      <w:r w:rsidR="00B13EAC">
        <w:rPr>
          <w:szCs w:val="28"/>
          <w:lang w:val="ru-RU"/>
        </w:rPr>
        <w:t>911 134,3</w:t>
      </w:r>
      <w:r w:rsidR="00800FC0">
        <w:rPr>
          <w:szCs w:val="28"/>
          <w:lang w:val="ru-RU"/>
        </w:rPr>
        <w:t xml:space="preserve"> тыс. рублей;</w:t>
      </w:r>
    </w:p>
    <w:p w:rsidR="00800FC0" w:rsidRPr="003F71AC" w:rsidRDefault="00800FC0" w:rsidP="00800FC0">
      <w:pPr>
        <w:pStyle w:val="6"/>
        <w:spacing w:before="0" w:line="283" w:lineRule="auto"/>
        <w:rPr>
          <w:szCs w:val="28"/>
          <w:lang w:val="ru-RU"/>
        </w:rPr>
      </w:pPr>
      <w:r>
        <w:rPr>
          <w:szCs w:val="28"/>
          <w:lang w:val="ru-RU"/>
        </w:rPr>
        <w:t>- с</w:t>
      </w:r>
      <w:r w:rsidRPr="00800FC0">
        <w:rPr>
          <w:szCs w:val="28"/>
          <w:lang w:val="ru-RU"/>
        </w:rPr>
        <w:t>убвенции бюджетам бюджетной системы Российской Федерации</w:t>
      </w:r>
      <w:r>
        <w:rPr>
          <w:szCs w:val="28"/>
          <w:lang w:val="ru-RU"/>
        </w:rPr>
        <w:t xml:space="preserve"> </w:t>
      </w:r>
      <w:r w:rsidR="00B13EAC">
        <w:rPr>
          <w:szCs w:val="28"/>
          <w:lang w:val="ru-RU"/>
        </w:rPr>
        <w:t>уменьшены</w:t>
      </w:r>
      <w:r>
        <w:rPr>
          <w:szCs w:val="28"/>
          <w:lang w:val="ru-RU"/>
        </w:rPr>
        <w:t xml:space="preserve"> на </w:t>
      </w:r>
      <w:r w:rsidR="00B13EAC">
        <w:rPr>
          <w:szCs w:val="28"/>
          <w:lang w:val="ru-RU"/>
        </w:rPr>
        <w:t xml:space="preserve">39 034,4 </w:t>
      </w:r>
      <w:r>
        <w:rPr>
          <w:szCs w:val="28"/>
          <w:lang w:val="ru-RU"/>
        </w:rPr>
        <w:t xml:space="preserve">тыс. рублей или </w:t>
      </w:r>
      <w:r w:rsidR="00B13EAC">
        <w:rPr>
          <w:szCs w:val="28"/>
          <w:lang w:val="ru-RU"/>
        </w:rPr>
        <w:t>3,4</w:t>
      </w:r>
      <w:r>
        <w:rPr>
          <w:szCs w:val="28"/>
          <w:lang w:val="ru-RU"/>
        </w:rPr>
        <w:t xml:space="preserve">% и составили </w:t>
      </w:r>
      <w:r w:rsidR="00B13EAC">
        <w:rPr>
          <w:szCs w:val="28"/>
          <w:lang w:val="ru-RU"/>
        </w:rPr>
        <w:t>1 106 374,8</w:t>
      </w:r>
      <w:r>
        <w:rPr>
          <w:szCs w:val="28"/>
          <w:lang w:val="ru-RU"/>
        </w:rPr>
        <w:t xml:space="preserve"> тыс. рублей</w:t>
      </w:r>
      <w:r w:rsidR="003F71AC">
        <w:rPr>
          <w:szCs w:val="28"/>
          <w:lang w:val="ru-RU"/>
        </w:rPr>
        <w:t>;</w:t>
      </w:r>
    </w:p>
    <w:p w:rsidR="003F71AC" w:rsidRPr="003F71AC" w:rsidRDefault="003F71AC" w:rsidP="003F71AC">
      <w:pPr>
        <w:pStyle w:val="6"/>
        <w:spacing w:before="0" w:line="283" w:lineRule="auto"/>
        <w:rPr>
          <w:szCs w:val="28"/>
          <w:lang w:val="ru-RU"/>
        </w:rPr>
      </w:pPr>
      <w:r w:rsidRPr="003F71AC">
        <w:rPr>
          <w:szCs w:val="28"/>
          <w:lang w:val="ru-RU"/>
        </w:rPr>
        <w:t xml:space="preserve">- </w:t>
      </w:r>
      <w:r>
        <w:rPr>
          <w:szCs w:val="28"/>
          <w:lang w:val="ru-RU"/>
        </w:rPr>
        <w:t>иные</w:t>
      </w:r>
      <w:r w:rsidRPr="000A2387">
        <w:rPr>
          <w:szCs w:val="28"/>
          <w:lang w:val="ru-RU"/>
        </w:rPr>
        <w:t xml:space="preserve"> межбюджетны</w:t>
      </w:r>
      <w:r>
        <w:rPr>
          <w:szCs w:val="28"/>
          <w:lang w:val="ru-RU"/>
        </w:rPr>
        <w:t>е</w:t>
      </w:r>
      <w:r w:rsidRPr="000A2387">
        <w:rPr>
          <w:szCs w:val="28"/>
          <w:lang w:val="ru-RU"/>
        </w:rPr>
        <w:t xml:space="preserve"> трансферт</w:t>
      </w:r>
      <w:r>
        <w:rPr>
          <w:szCs w:val="28"/>
          <w:lang w:val="ru-RU"/>
        </w:rPr>
        <w:t xml:space="preserve">ы увеличены на </w:t>
      </w:r>
      <w:r w:rsidR="00B13EAC">
        <w:rPr>
          <w:szCs w:val="28"/>
          <w:lang w:val="ru-RU"/>
        </w:rPr>
        <w:t>16 996,8</w:t>
      </w:r>
      <w:r>
        <w:rPr>
          <w:szCs w:val="28"/>
          <w:lang w:val="ru-RU"/>
        </w:rPr>
        <w:t xml:space="preserve"> тыс. рублей или </w:t>
      </w:r>
      <w:r w:rsidR="00B13EAC">
        <w:rPr>
          <w:szCs w:val="28"/>
          <w:lang w:val="ru-RU"/>
        </w:rPr>
        <w:t>16,4</w:t>
      </w:r>
      <w:r>
        <w:rPr>
          <w:szCs w:val="28"/>
          <w:lang w:val="ru-RU"/>
        </w:rPr>
        <w:t xml:space="preserve">% и составили </w:t>
      </w:r>
      <w:r w:rsidR="00B13EAC">
        <w:rPr>
          <w:szCs w:val="28"/>
          <w:lang w:val="ru-RU"/>
        </w:rPr>
        <w:t>120 700,7</w:t>
      </w:r>
      <w:r>
        <w:rPr>
          <w:szCs w:val="28"/>
          <w:lang w:val="ru-RU"/>
        </w:rPr>
        <w:t xml:space="preserve"> тыс. рублей;</w:t>
      </w:r>
    </w:p>
    <w:p w:rsidR="00F316D5" w:rsidRDefault="009B219E" w:rsidP="009B219E">
      <w:pPr>
        <w:pStyle w:val="6"/>
        <w:spacing w:before="0" w:line="283" w:lineRule="auto"/>
        <w:rPr>
          <w:lang w:val="ru-RU"/>
        </w:rPr>
      </w:pPr>
      <w:r>
        <w:rPr>
          <w:szCs w:val="28"/>
          <w:lang w:val="ru-RU"/>
        </w:rPr>
        <w:t xml:space="preserve">- </w:t>
      </w:r>
      <w:r>
        <w:t>доход</w:t>
      </w:r>
      <w:r w:rsidR="00F316D5">
        <w:rPr>
          <w:lang w:val="ru-RU"/>
        </w:rPr>
        <w:t>ы</w:t>
      </w:r>
      <w:r>
        <w:t xml:space="preserve"> </w:t>
      </w:r>
      <w:r w:rsidRPr="001E6EF4">
        <w:t>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Pr>
          <w:lang w:val="ru-RU"/>
        </w:rPr>
        <w:t xml:space="preserve"> </w:t>
      </w:r>
      <w:r w:rsidR="00F316D5">
        <w:t>руб</w:t>
      </w:r>
      <w:r w:rsidR="00F316D5">
        <w:rPr>
          <w:lang w:val="ru-RU"/>
        </w:rPr>
        <w:t>лей</w:t>
      </w:r>
      <w:r w:rsidR="00F316D5">
        <w:t xml:space="preserve"> в связи с отсутствием потребности</w:t>
      </w:r>
      <w:r w:rsidR="00F316D5">
        <w:rPr>
          <w:lang w:val="ru-RU"/>
        </w:rPr>
        <w:t xml:space="preserve"> увеличены на </w:t>
      </w:r>
      <w:r w:rsidR="00B13EAC">
        <w:rPr>
          <w:lang w:val="ru-RU"/>
        </w:rPr>
        <w:t>33 077,8</w:t>
      </w:r>
      <w:r w:rsidR="00F316D5">
        <w:rPr>
          <w:lang w:val="ru-RU"/>
        </w:rPr>
        <w:t xml:space="preserve"> тыс. рублей</w:t>
      </w:r>
      <w:r w:rsidR="009F369E">
        <w:rPr>
          <w:lang w:val="ru-RU"/>
        </w:rPr>
        <w:t xml:space="preserve"> (</w:t>
      </w:r>
      <w:r w:rsidR="00BA137E">
        <w:rPr>
          <w:lang w:val="ru-RU"/>
        </w:rPr>
        <w:t>Возврат МБКПУ «</w:t>
      </w:r>
      <w:r w:rsidR="00BA137E" w:rsidRPr="00BA137E">
        <w:rPr>
          <w:lang w:val="ru-RU"/>
        </w:rPr>
        <w:t>Печенгское МБО</w:t>
      </w:r>
      <w:r w:rsidR="00BA137E">
        <w:rPr>
          <w:lang w:val="ru-RU"/>
        </w:rPr>
        <w:t>», МБОУ СОШ</w:t>
      </w:r>
      <w:r w:rsidR="00BA137E" w:rsidRPr="00BA137E">
        <w:rPr>
          <w:lang w:val="ru-RU"/>
        </w:rPr>
        <w:t xml:space="preserve"> №5, МБУК </w:t>
      </w:r>
      <w:r w:rsidR="00BA137E">
        <w:rPr>
          <w:lang w:val="ru-RU"/>
        </w:rPr>
        <w:t>«</w:t>
      </w:r>
      <w:r w:rsidR="00BA137E" w:rsidRPr="00BA137E">
        <w:rPr>
          <w:lang w:val="ru-RU"/>
        </w:rPr>
        <w:t xml:space="preserve">ДК </w:t>
      </w:r>
      <w:r w:rsidR="00BA137E">
        <w:rPr>
          <w:lang w:val="ru-RU"/>
        </w:rPr>
        <w:t>«</w:t>
      </w:r>
      <w:r w:rsidR="00BA137E" w:rsidRPr="00BA137E">
        <w:rPr>
          <w:lang w:val="ru-RU"/>
        </w:rPr>
        <w:t>Восход</w:t>
      </w:r>
      <w:r w:rsidR="00BA137E">
        <w:rPr>
          <w:lang w:val="ru-RU"/>
        </w:rPr>
        <w:t>»</w:t>
      </w:r>
      <w:r w:rsidR="009F369E">
        <w:rPr>
          <w:lang w:val="ru-RU"/>
        </w:rPr>
        <w:t>)</w:t>
      </w:r>
      <w:r w:rsidR="00F316D5">
        <w:rPr>
          <w:lang w:val="ru-RU"/>
        </w:rPr>
        <w:t xml:space="preserve"> и составили </w:t>
      </w:r>
      <w:r w:rsidR="00B13EAC">
        <w:rPr>
          <w:lang w:val="ru-RU"/>
        </w:rPr>
        <w:t>43 963,6</w:t>
      </w:r>
      <w:r w:rsidR="00F316D5">
        <w:rPr>
          <w:lang w:val="ru-RU"/>
        </w:rPr>
        <w:t xml:space="preserve"> тыс. рублей</w:t>
      </w:r>
      <w:r w:rsidR="009F369E">
        <w:rPr>
          <w:lang w:val="ru-RU"/>
        </w:rPr>
        <w:t>.</w:t>
      </w:r>
    </w:p>
    <w:p w:rsidR="00A660FA" w:rsidRPr="002E07C6" w:rsidRDefault="00043566" w:rsidP="00465E77">
      <w:pPr>
        <w:pStyle w:val="1"/>
        <w:numPr>
          <w:ilvl w:val="0"/>
          <w:numId w:val="11"/>
        </w:numPr>
        <w:spacing w:before="0" w:line="283" w:lineRule="auto"/>
        <w:ind w:left="0" w:firstLine="709"/>
        <w:jc w:val="both"/>
        <w:rPr>
          <w:rFonts w:ascii="Times New Roman" w:eastAsia="Calibri" w:hAnsi="Times New Roman" w:cs="Times New Roman"/>
          <w:color w:val="auto"/>
          <w:sz w:val="28"/>
          <w:szCs w:val="28"/>
        </w:rPr>
      </w:pPr>
      <w:r w:rsidRPr="002E07C6">
        <w:rPr>
          <w:rFonts w:ascii="Times New Roman" w:eastAsia="Calibri" w:hAnsi="Times New Roman" w:cs="Times New Roman"/>
          <w:color w:val="auto"/>
          <w:sz w:val="28"/>
          <w:szCs w:val="28"/>
        </w:rPr>
        <w:t xml:space="preserve">В соответствии с </w:t>
      </w:r>
      <w:r w:rsidR="000F3AA7" w:rsidRPr="002E07C6">
        <w:rPr>
          <w:rFonts w:ascii="Times New Roman" w:eastAsia="Times New Roman" w:hAnsi="Times New Roman" w:cs="Times New Roman"/>
          <w:color w:val="auto"/>
          <w:sz w:val="28"/>
          <w:szCs w:val="28"/>
          <w:lang w:eastAsia="x-none"/>
        </w:rPr>
        <w:t xml:space="preserve">подпунктом 1.1 пункта 1 проекта решения </w:t>
      </w:r>
      <w:r w:rsidRPr="002E07C6">
        <w:rPr>
          <w:rFonts w:ascii="Times New Roman" w:eastAsia="Calibri" w:hAnsi="Times New Roman" w:cs="Times New Roman"/>
          <w:color w:val="auto"/>
          <w:sz w:val="28"/>
          <w:szCs w:val="28"/>
        </w:rPr>
        <w:t>общий</w:t>
      </w:r>
      <w:r w:rsidRPr="002E07C6">
        <w:rPr>
          <w:rFonts w:ascii="Times New Roman" w:eastAsia="Calibri" w:hAnsi="Times New Roman" w:cs="Times New Roman"/>
          <w:b/>
          <w:color w:val="auto"/>
          <w:sz w:val="28"/>
          <w:szCs w:val="28"/>
        </w:rPr>
        <w:t xml:space="preserve"> объем расходов </w:t>
      </w:r>
      <w:r w:rsidRPr="002E07C6">
        <w:rPr>
          <w:rFonts w:ascii="Times New Roman" w:eastAsia="Calibri" w:hAnsi="Times New Roman" w:cs="Times New Roman"/>
          <w:color w:val="auto"/>
          <w:sz w:val="28"/>
          <w:szCs w:val="28"/>
        </w:rPr>
        <w:t>бюджета округа</w:t>
      </w:r>
      <w:r w:rsidR="000F3AA7" w:rsidRPr="002E07C6">
        <w:rPr>
          <w:rFonts w:ascii="Times New Roman" w:eastAsia="Calibri" w:hAnsi="Times New Roman" w:cs="Times New Roman"/>
          <w:color w:val="auto"/>
          <w:sz w:val="28"/>
          <w:szCs w:val="28"/>
        </w:rPr>
        <w:t xml:space="preserve"> на 2024 год предлагается утвердить в объеме </w:t>
      </w:r>
      <w:r w:rsidR="002E07C6" w:rsidRPr="002E07C6">
        <w:rPr>
          <w:rFonts w:ascii="Times New Roman" w:eastAsia="Calibri" w:hAnsi="Times New Roman" w:cs="Times New Roman"/>
          <w:color w:val="auto"/>
          <w:sz w:val="28"/>
          <w:szCs w:val="28"/>
        </w:rPr>
        <w:t>3 917 202,4</w:t>
      </w:r>
      <w:r w:rsidR="000F3AA7" w:rsidRPr="002E07C6">
        <w:rPr>
          <w:rFonts w:ascii="Times New Roman" w:eastAsia="Calibri" w:hAnsi="Times New Roman" w:cs="Times New Roman"/>
          <w:color w:val="auto"/>
          <w:sz w:val="28"/>
          <w:szCs w:val="28"/>
        </w:rPr>
        <w:t xml:space="preserve"> тыс. рублей, что на </w:t>
      </w:r>
      <w:r w:rsidR="002E07C6" w:rsidRPr="002E07C6">
        <w:rPr>
          <w:rFonts w:ascii="Times New Roman" w:eastAsia="Calibri" w:hAnsi="Times New Roman" w:cs="Times New Roman"/>
          <w:color w:val="auto"/>
          <w:sz w:val="28"/>
          <w:szCs w:val="28"/>
        </w:rPr>
        <w:t>35 045,3</w:t>
      </w:r>
      <w:r w:rsidR="000F3AA7" w:rsidRPr="002E07C6">
        <w:rPr>
          <w:rFonts w:ascii="Times New Roman" w:eastAsia="Calibri" w:hAnsi="Times New Roman" w:cs="Times New Roman"/>
          <w:color w:val="auto"/>
          <w:sz w:val="28"/>
          <w:szCs w:val="28"/>
        </w:rPr>
        <w:t xml:space="preserve"> тыс. рублей или на </w:t>
      </w:r>
      <w:r w:rsidR="002E07C6" w:rsidRPr="002E07C6">
        <w:rPr>
          <w:rFonts w:ascii="Times New Roman" w:eastAsia="Calibri" w:hAnsi="Times New Roman" w:cs="Times New Roman"/>
          <w:color w:val="auto"/>
          <w:sz w:val="28"/>
          <w:szCs w:val="28"/>
        </w:rPr>
        <w:t>0,9</w:t>
      </w:r>
      <w:r w:rsidR="000F3AA7" w:rsidRPr="002E07C6">
        <w:rPr>
          <w:rFonts w:ascii="Times New Roman" w:eastAsia="Calibri" w:hAnsi="Times New Roman" w:cs="Times New Roman"/>
          <w:color w:val="auto"/>
          <w:sz w:val="28"/>
          <w:szCs w:val="28"/>
        </w:rPr>
        <w:t xml:space="preserve">% </w:t>
      </w:r>
      <w:r w:rsidR="002E07C6" w:rsidRPr="002E07C6">
        <w:rPr>
          <w:rFonts w:ascii="Times New Roman" w:eastAsia="Calibri" w:hAnsi="Times New Roman" w:cs="Times New Roman"/>
          <w:color w:val="auto"/>
          <w:sz w:val="28"/>
          <w:szCs w:val="28"/>
        </w:rPr>
        <w:t>меньше</w:t>
      </w:r>
      <w:r w:rsidR="000F3AA7" w:rsidRPr="002E07C6">
        <w:rPr>
          <w:rFonts w:ascii="Times New Roman" w:eastAsia="Calibri" w:hAnsi="Times New Roman" w:cs="Times New Roman"/>
          <w:color w:val="auto"/>
          <w:sz w:val="28"/>
          <w:szCs w:val="28"/>
        </w:rPr>
        <w:t xml:space="preserve"> объема расходов, утвержденного решением о бюджете.</w:t>
      </w:r>
      <w:r w:rsidR="00465E77" w:rsidRPr="002E07C6">
        <w:rPr>
          <w:rFonts w:ascii="Times New Roman" w:eastAsia="Calibri" w:hAnsi="Times New Roman" w:cs="Times New Roman"/>
          <w:color w:val="auto"/>
          <w:sz w:val="28"/>
          <w:szCs w:val="28"/>
        </w:rPr>
        <w:t xml:space="preserve"> </w:t>
      </w:r>
    </w:p>
    <w:p w:rsidR="0097330E" w:rsidRDefault="00AA5233" w:rsidP="00E51442">
      <w:pPr>
        <w:tabs>
          <w:tab w:val="left" w:pos="284"/>
        </w:tabs>
        <w:suppressAutoHyphens/>
        <w:spacing w:line="283" w:lineRule="auto"/>
        <w:ind w:firstLine="709"/>
        <w:jc w:val="both"/>
        <w:rPr>
          <w:sz w:val="28"/>
          <w:szCs w:val="28"/>
          <w:lang w:eastAsia="x-none"/>
        </w:rPr>
      </w:pPr>
      <w:r w:rsidRPr="007E49B4">
        <w:rPr>
          <w:sz w:val="28"/>
          <w:szCs w:val="28"/>
          <w:lang w:eastAsia="x-none"/>
        </w:rPr>
        <w:t xml:space="preserve">Сравнительный анализ изменения объема и структуры расходов бюджета </w:t>
      </w:r>
      <w:r w:rsidR="00045AF2">
        <w:rPr>
          <w:sz w:val="28"/>
          <w:szCs w:val="28"/>
          <w:lang w:eastAsia="x-none"/>
        </w:rPr>
        <w:t xml:space="preserve">округа </w:t>
      </w:r>
      <w:r w:rsidRPr="007E49B4">
        <w:rPr>
          <w:sz w:val="28"/>
          <w:szCs w:val="28"/>
          <w:lang w:eastAsia="x-none"/>
        </w:rPr>
        <w:t>по разделам классификации расходов на 20</w:t>
      </w:r>
      <w:r w:rsidR="007E49B4" w:rsidRPr="007E49B4">
        <w:rPr>
          <w:sz w:val="28"/>
          <w:szCs w:val="28"/>
          <w:lang w:eastAsia="x-none"/>
        </w:rPr>
        <w:t>2</w:t>
      </w:r>
      <w:r w:rsidR="0097330E">
        <w:rPr>
          <w:sz w:val="28"/>
          <w:szCs w:val="28"/>
          <w:lang w:eastAsia="x-none"/>
        </w:rPr>
        <w:t>4</w:t>
      </w:r>
      <w:r w:rsidRPr="007E49B4">
        <w:rPr>
          <w:sz w:val="28"/>
          <w:szCs w:val="28"/>
          <w:lang w:eastAsia="x-none"/>
        </w:rPr>
        <w:t xml:space="preserve"> год представлен в таблице </w:t>
      </w:r>
      <w:r w:rsidR="00045AF2">
        <w:rPr>
          <w:sz w:val="28"/>
          <w:szCs w:val="28"/>
          <w:lang w:eastAsia="x-none"/>
        </w:rPr>
        <w:t>3</w:t>
      </w:r>
      <w:r w:rsidRPr="007E49B4">
        <w:rPr>
          <w:sz w:val="28"/>
          <w:szCs w:val="28"/>
          <w:lang w:eastAsia="x-none"/>
        </w:rPr>
        <w:t>:</w:t>
      </w:r>
      <w:r w:rsidR="00BE2211">
        <w:rPr>
          <w:sz w:val="28"/>
          <w:szCs w:val="28"/>
          <w:lang w:eastAsia="x-none"/>
        </w:rPr>
        <w:t xml:space="preserve"> </w:t>
      </w:r>
    </w:p>
    <w:p w:rsidR="005972FB" w:rsidRDefault="00BF7C59" w:rsidP="00045AF2">
      <w:pPr>
        <w:tabs>
          <w:tab w:val="left" w:pos="284"/>
        </w:tabs>
        <w:suppressAutoHyphens/>
        <w:spacing w:line="283" w:lineRule="auto"/>
        <w:jc w:val="right"/>
        <w:rPr>
          <w:sz w:val="20"/>
          <w:szCs w:val="20"/>
        </w:rPr>
      </w:pPr>
      <w:r w:rsidRPr="00BF7C59">
        <w:rPr>
          <w:sz w:val="20"/>
          <w:szCs w:val="20"/>
        </w:rPr>
        <w:t>т</w:t>
      </w:r>
      <w:r>
        <w:rPr>
          <w:sz w:val="20"/>
          <w:szCs w:val="20"/>
        </w:rPr>
        <w:t xml:space="preserve">аблица </w:t>
      </w:r>
      <w:r w:rsidR="00045AF2">
        <w:rPr>
          <w:sz w:val="20"/>
          <w:szCs w:val="20"/>
        </w:rPr>
        <w:t>3,</w:t>
      </w:r>
      <w:r>
        <w:rPr>
          <w:sz w:val="20"/>
          <w:szCs w:val="20"/>
        </w:rPr>
        <w:t xml:space="preserve"> </w:t>
      </w:r>
      <w:r w:rsidR="005972FB" w:rsidRPr="005972FB">
        <w:rPr>
          <w:sz w:val="20"/>
          <w:szCs w:val="20"/>
        </w:rPr>
        <w:t>тыс. рублей</w:t>
      </w:r>
    </w:p>
    <w:tbl>
      <w:tblPr>
        <w:tblW w:w="10632" w:type="dxa"/>
        <w:tblInd w:w="-743" w:type="dxa"/>
        <w:tblLayout w:type="fixed"/>
        <w:tblLook w:val="04A0" w:firstRow="1" w:lastRow="0" w:firstColumn="1" w:lastColumn="0" w:noHBand="0" w:noVBand="1"/>
      </w:tblPr>
      <w:tblGrid>
        <w:gridCol w:w="960"/>
        <w:gridCol w:w="2358"/>
        <w:gridCol w:w="1369"/>
        <w:gridCol w:w="1267"/>
        <w:gridCol w:w="1276"/>
        <w:gridCol w:w="1276"/>
        <w:gridCol w:w="1134"/>
        <w:gridCol w:w="992"/>
      </w:tblGrid>
      <w:tr w:rsidR="00A37F6E" w:rsidRPr="00A37F6E" w:rsidTr="00A37F6E">
        <w:trPr>
          <w:trHeight w:val="9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Раздел</w:t>
            </w:r>
          </w:p>
        </w:tc>
        <w:tc>
          <w:tcPr>
            <w:tcW w:w="2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Наименование</w:t>
            </w:r>
          </w:p>
        </w:tc>
        <w:tc>
          <w:tcPr>
            <w:tcW w:w="13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 xml:space="preserve">Утверждено решением о бюджете </w:t>
            </w:r>
          </w:p>
        </w:tc>
        <w:tc>
          <w:tcPr>
            <w:tcW w:w="1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 xml:space="preserve">Проект решения </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Изменения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Удельный вес в общем объеме расходов</w:t>
            </w:r>
          </w:p>
        </w:tc>
      </w:tr>
      <w:tr w:rsidR="00A37F6E" w:rsidRPr="00A37F6E" w:rsidTr="00A37F6E">
        <w:trPr>
          <w:trHeight w:val="63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37F6E" w:rsidRPr="00A37F6E" w:rsidRDefault="00A37F6E" w:rsidP="00A37F6E">
            <w:pPr>
              <w:rPr>
                <w:color w:val="000000"/>
                <w:sz w:val="22"/>
                <w:szCs w:val="22"/>
              </w:rPr>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A37F6E" w:rsidRPr="00A37F6E" w:rsidRDefault="00A37F6E" w:rsidP="00A37F6E">
            <w:pPr>
              <w:rPr>
                <w:color w:val="000000"/>
                <w:sz w:val="22"/>
                <w:szCs w:val="22"/>
              </w:rPr>
            </w:pPr>
          </w:p>
        </w:tc>
        <w:tc>
          <w:tcPr>
            <w:tcW w:w="1369" w:type="dxa"/>
            <w:vMerge/>
            <w:tcBorders>
              <w:top w:val="single" w:sz="4" w:space="0" w:color="auto"/>
              <w:left w:val="single" w:sz="4" w:space="0" w:color="auto"/>
              <w:bottom w:val="single" w:sz="4" w:space="0" w:color="000000"/>
              <w:right w:val="single" w:sz="4" w:space="0" w:color="auto"/>
            </w:tcBorders>
            <w:vAlign w:val="center"/>
            <w:hideMark/>
          </w:tcPr>
          <w:p w:rsidR="00A37F6E" w:rsidRPr="00A37F6E" w:rsidRDefault="00A37F6E" w:rsidP="00A37F6E">
            <w:pPr>
              <w:rPr>
                <w:color w:val="000000"/>
                <w:sz w:val="22"/>
                <w:szCs w:val="22"/>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A37F6E" w:rsidRPr="00A37F6E" w:rsidRDefault="00A37F6E" w:rsidP="00A37F6E">
            <w:pP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гр.4-гр.3</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гр.5/гр.3</w:t>
            </w:r>
          </w:p>
        </w:tc>
        <w:tc>
          <w:tcPr>
            <w:tcW w:w="1134"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Решение о бюджете</w:t>
            </w:r>
          </w:p>
        </w:tc>
        <w:tc>
          <w:tcPr>
            <w:tcW w:w="992"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Проект решения</w:t>
            </w:r>
          </w:p>
        </w:tc>
      </w:tr>
      <w:tr w:rsidR="00A37F6E" w:rsidRPr="00A37F6E" w:rsidTr="00A37F6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0"/>
                <w:szCs w:val="20"/>
              </w:rPr>
            </w:pPr>
            <w:r w:rsidRPr="00A37F6E">
              <w:rPr>
                <w:color w:val="000000"/>
                <w:sz w:val="20"/>
                <w:szCs w:val="20"/>
              </w:rPr>
              <w:t>1</w:t>
            </w:r>
          </w:p>
        </w:tc>
        <w:tc>
          <w:tcPr>
            <w:tcW w:w="2358"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0"/>
                <w:szCs w:val="20"/>
              </w:rPr>
            </w:pPr>
            <w:r w:rsidRPr="00A37F6E">
              <w:rPr>
                <w:color w:val="000000"/>
                <w:sz w:val="20"/>
                <w:szCs w:val="20"/>
              </w:rPr>
              <w:t>2</w:t>
            </w:r>
          </w:p>
        </w:tc>
        <w:tc>
          <w:tcPr>
            <w:tcW w:w="1369"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0"/>
                <w:szCs w:val="20"/>
              </w:rPr>
            </w:pPr>
            <w:r w:rsidRPr="00A37F6E">
              <w:rPr>
                <w:color w:val="000000"/>
                <w:sz w:val="20"/>
                <w:szCs w:val="20"/>
              </w:rPr>
              <w:t>3</w:t>
            </w:r>
          </w:p>
        </w:tc>
        <w:tc>
          <w:tcPr>
            <w:tcW w:w="1267"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0"/>
                <w:szCs w:val="20"/>
              </w:rPr>
            </w:pPr>
            <w:r w:rsidRPr="00A37F6E">
              <w:rPr>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0"/>
                <w:szCs w:val="20"/>
              </w:rPr>
            </w:pPr>
            <w:r w:rsidRPr="00A37F6E">
              <w:rPr>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0"/>
                <w:szCs w:val="20"/>
              </w:rPr>
            </w:pPr>
            <w:r w:rsidRPr="00A37F6E">
              <w:rPr>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0"/>
                <w:szCs w:val="20"/>
              </w:rPr>
            </w:pPr>
            <w:r w:rsidRPr="00A37F6E">
              <w:rPr>
                <w:color w:val="000000"/>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0"/>
                <w:szCs w:val="20"/>
              </w:rPr>
            </w:pPr>
            <w:r w:rsidRPr="00A37F6E">
              <w:rPr>
                <w:color w:val="000000"/>
                <w:sz w:val="20"/>
                <w:szCs w:val="20"/>
              </w:rPr>
              <w:t>8</w:t>
            </w:r>
          </w:p>
        </w:tc>
      </w:tr>
      <w:tr w:rsidR="00A37F6E" w:rsidRPr="00A37F6E" w:rsidTr="00A37F6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01</w:t>
            </w:r>
          </w:p>
        </w:tc>
        <w:tc>
          <w:tcPr>
            <w:tcW w:w="2358"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both"/>
              <w:rPr>
                <w:color w:val="000000"/>
                <w:sz w:val="22"/>
                <w:szCs w:val="22"/>
              </w:rPr>
            </w:pPr>
            <w:r w:rsidRPr="00A37F6E">
              <w:rPr>
                <w:color w:val="000000"/>
                <w:sz w:val="22"/>
                <w:szCs w:val="22"/>
              </w:rPr>
              <w:t>Общегосударственные вопросы</w:t>
            </w:r>
          </w:p>
        </w:tc>
        <w:tc>
          <w:tcPr>
            <w:tcW w:w="1369"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461 432,9</w:t>
            </w:r>
          </w:p>
        </w:tc>
        <w:tc>
          <w:tcPr>
            <w:tcW w:w="1267"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471 445,7</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10 012,8</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2,2%</w:t>
            </w:r>
          </w:p>
        </w:tc>
        <w:tc>
          <w:tcPr>
            <w:tcW w:w="1134"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11,7%</w:t>
            </w:r>
          </w:p>
        </w:tc>
        <w:tc>
          <w:tcPr>
            <w:tcW w:w="992"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12,0%</w:t>
            </w:r>
          </w:p>
        </w:tc>
      </w:tr>
      <w:tr w:rsidR="00A37F6E" w:rsidRPr="00A37F6E" w:rsidTr="00A37F6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02</w:t>
            </w:r>
          </w:p>
        </w:tc>
        <w:tc>
          <w:tcPr>
            <w:tcW w:w="2358"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both"/>
              <w:rPr>
                <w:color w:val="000000"/>
                <w:sz w:val="22"/>
                <w:szCs w:val="22"/>
              </w:rPr>
            </w:pPr>
            <w:r w:rsidRPr="00A37F6E">
              <w:rPr>
                <w:color w:val="000000"/>
                <w:sz w:val="22"/>
                <w:szCs w:val="22"/>
              </w:rPr>
              <w:t>Национальная оборона</w:t>
            </w:r>
          </w:p>
        </w:tc>
        <w:tc>
          <w:tcPr>
            <w:tcW w:w="1369"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2 677,6</w:t>
            </w:r>
          </w:p>
        </w:tc>
        <w:tc>
          <w:tcPr>
            <w:tcW w:w="1267"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2 979,2</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301,6</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11,3%</w:t>
            </w:r>
          </w:p>
        </w:tc>
        <w:tc>
          <w:tcPr>
            <w:tcW w:w="1134"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0,1%</w:t>
            </w:r>
          </w:p>
        </w:tc>
      </w:tr>
      <w:tr w:rsidR="00A37F6E" w:rsidRPr="00A37F6E" w:rsidTr="00A37F6E">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03</w:t>
            </w:r>
          </w:p>
        </w:tc>
        <w:tc>
          <w:tcPr>
            <w:tcW w:w="2358"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both"/>
              <w:rPr>
                <w:color w:val="000000"/>
                <w:sz w:val="22"/>
                <w:szCs w:val="22"/>
              </w:rPr>
            </w:pPr>
            <w:r w:rsidRPr="00A37F6E">
              <w:rPr>
                <w:color w:val="000000"/>
                <w:sz w:val="22"/>
                <w:szCs w:val="22"/>
              </w:rPr>
              <w:t>Национальная безопасность и правоохранительная деятельность</w:t>
            </w:r>
          </w:p>
        </w:tc>
        <w:tc>
          <w:tcPr>
            <w:tcW w:w="1369"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27 567,6</w:t>
            </w:r>
          </w:p>
        </w:tc>
        <w:tc>
          <w:tcPr>
            <w:tcW w:w="1267"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27 414,8</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-152,8</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-0,6%</w:t>
            </w:r>
          </w:p>
        </w:tc>
        <w:tc>
          <w:tcPr>
            <w:tcW w:w="1134"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0,7%</w:t>
            </w:r>
          </w:p>
        </w:tc>
        <w:tc>
          <w:tcPr>
            <w:tcW w:w="992"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0,7%</w:t>
            </w:r>
          </w:p>
        </w:tc>
      </w:tr>
      <w:tr w:rsidR="00A37F6E" w:rsidRPr="00A37F6E" w:rsidTr="00A37F6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04</w:t>
            </w:r>
          </w:p>
        </w:tc>
        <w:tc>
          <w:tcPr>
            <w:tcW w:w="2358"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both"/>
              <w:rPr>
                <w:color w:val="000000"/>
                <w:sz w:val="22"/>
                <w:szCs w:val="22"/>
              </w:rPr>
            </w:pPr>
            <w:r w:rsidRPr="00A37F6E">
              <w:rPr>
                <w:color w:val="000000"/>
                <w:sz w:val="22"/>
                <w:szCs w:val="22"/>
              </w:rPr>
              <w:t>Национальная экономика</w:t>
            </w:r>
          </w:p>
        </w:tc>
        <w:tc>
          <w:tcPr>
            <w:tcW w:w="1369"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308 655,3</w:t>
            </w:r>
          </w:p>
        </w:tc>
        <w:tc>
          <w:tcPr>
            <w:tcW w:w="1267"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275 013,5</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-33 641,8</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-10,9%</w:t>
            </w:r>
          </w:p>
        </w:tc>
        <w:tc>
          <w:tcPr>
            <w:tcW w:w="1134"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7,8%</w:t>
            </w:r>
          </w:p>
        </w:tc>
        <w:tc>
          <w:tcPr>
            <w:tcW w:w="992"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7,0%</w:t>
            </w:r>
          </w:p>
        </w:tc>
      </w:tr>
      <w:tr w:rsidR="00A37F6E" w:rsidRPr="00A37F6E" w:rsidTr="00A37F6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lastRenderedPageBreak/>
              <w:t>05</w:t>
            </w:r>
          </w:p>
        </w:tc>
        <w:tc>
          <w:tcPr>
            <w:tcW w:w="2358"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both"/>
              <w:rPr>
                <w:color w:val="000000"/>
                <w:sz w:val="22"/>
                <w:szCs w:val="22"/>
              </w:rPr>
            </w:pPr>
            <w:r w:rsidRPr="00A37F6E">
              <w:rPr>
                <w:color w:val="000000"/>
                <w:sz w:val="22"/>
                <w:szCs w:val="22"/>
              </w:rPr>
              <w:t>Жилищно-коммунальное хозяйство</w:t>
            </w:r>
          </w:p>
        </w:tc>
        <w:tc>
          <w:tcPr>
            <w:tcW w:w="1369"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604 381,1</w:t>
            </w:r>
          </w:p>
        </w:tc>
        <w:tc>
          <w:tcPr>
            <w:tcW w:w="1267"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547 159,7</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-57 221,4</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-9,5%</w:t>
            </w:r>
          </w:p>
        </w:tc>
        <w:tc>
          <w:tcPr>
            <w:tcW w:w="1134"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15,3%</w:t>
            </w:r>
          </w:p>
        </w:tc>
        <w:tc>
          <w:tcPr>
            <w:tcW w:w="992"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14,0%</w:t>
            </w:r>
          </w:p>
        </w:tc>
      </w:tr>
      <w:tr w:rsidR="00A37F6E" w:rsidRPr="00A37F6E" w:rsidTr="00A37F6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06</w:t>
            </w:r>
          </w:p>
        </w:tc>
        <w:tc>
          <w:tcPr>
            <w:tcW w:w="2358"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both"/>
              <w:rPr>
                <w:color w:val="000000"/>
                <w:sz w:val="22"/>
                <w:szCs w:val="22"/>
              </w:rPr>
            </w:pPr>
            <w:r w:rsidRPr="00A37F6E">
              <w:rPr>
                <w:color w:val="000000"/>
                <w:sz w:val="22"/>
                <w:szCs w:val="22"/>
              </w:rPr>
              <w:t>Охрана окружающей среды</w:t>
            </w:r>
          </w:p>
        </w:tc>
        <w:tc>
          <w:tcPr>
            <w:tcW w:w="1369"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52 609,3</w:t>
            </w:r>
          </w:p>
        </w:tc>
        <w:tc>
          <w:tcPr>
            <w:tcW w:w="1267"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41 494,2</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-11 115,1</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-21,1%</w:t>
            </w:r>
          </w:p>
        </w:tc>
        <w:tc>
          <w:tcPr>
            <w:tcW w:w="1134"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1,1%</w:t>
            </w:r>
          </w:p>
        </w:tc>
      </w:tr>
      <w:tr w:rsidR="00A37F6E" w:rsidRPr="00A37F6E" w:rsidTr="00A37F6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07</w:t>
            </w:r>
          </w:p>
        </w:tc>
        <w:tc>
          <w:tcPr>
            <w:tcW w:w="2358"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both"/>
              <w:rPr>
                <w:color w:val="000000"/>
                <w:sz w:val="22"/>
                <w:szCs w:val="22"/>
              </w:rPr>
            </w:pPr>
            <w:r w:rsidRPr="00A37F6E">
              <w:rPr>
                <w:color w:val="000000"/>
                <w:sz w:val="22"/>
                <w:szCs w:val="22"/>
              </w:rPr>
              <w:t>Образование</w:t>
            </w:r>
          </w:p>
        </w:tc>
        <w:tc>
          <w:tcPr>
            <w:tcW w:w="1369"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2 003 987,0</w:t>
            </w:r>
          </w:p>
        </w:tc>
        <w:tc>
          <w:tcPr>
            <w:tcW w:w="1267"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1 988 120,5</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-15 866,4</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-0,8%</w:t>
            </w:r>
          </w:p>
        </w:tc>
        <w:tc>
          <w:tcPr>
            <w:tcW w:w="1134"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50,7%</w:t>
            </w:r>
          </w:p>
        </w:tc>
        <w:tc>
          <w:tcPr>
            <w:tcW w:w="992"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50,8%</w:t>
            </w:r>
          </w:p>
        </w:tc>
      </w:tr>
      <w:tr w:rsidR="00A37F6E" w:rsidRPr="00A37F6E" w:rsidTr="00A37F6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08</w:t>
            </w:r>
          </w:p>
        </w:tc>
        <w:tc>
          <w:tcPr>
            <w:tcW w:w="2358"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both"/>
              <w:rPr>
                <w:color w:val="000000"/>
                <w:sz w:val="22"/>
                <w:szCs w:val="22"/>
              </w:rPr>
            </w:pPr>
            <w:r w:rsidRPr="00A37F6E">
              <w:rPr>
                <w:color w:val="000000"/>
                <w:sz w:val="22"/>
                <w:szCs w:val="22"/>
              </w:rPr>
              <w:t>Культура, кинематография</w:t>
            </w:r>
          </w:p>
        </w:tc>
        <w:tc>
          <w:tcPr>
            <w:tcW w:w="1369"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222 041,7</w:t>
            </w:r>
          </w:p>
        </w:tc>
        <w:tc>
          <w:tcPr>
            <w:tcW w:w="1267"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296 254,5</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74 212,8</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33,4%</w:t>
            </w:r>
          </w:p>
        </w:tc>
        <w:tc>
          <w:tcPr>
            <w:tcW w:w="1134"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5,6%</w:t>
            </w:r>
          </w:p>
        </w:tc>
        <w:tc>
          <w:tcPr>
            <w:tcW w:w="992"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7,6%</w:t>
            </w:r>
          </w:p>
        </w:tc>
      </w:tr>
      <w:tr w:rsidR="00A37F6E" w:rsidRPr="00A37F6E" w:rsidTr="00A37F6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10</w:t>
            </w:r>
          </w:p>
        </w:tc>
        <w:tc>
          <w:tcPr>
            <w:tcW w:w="2358"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both"/>
              <w:rPr>
                <w:color w:val="000000"/>
                <w:sz w:val="22"/>
                <w:szCs w:val="22"/>
              </w:rPr>
            </w:pPr>
            <w:r w:rsidRPr="00A37F6E">
              <w:rPr>
                <w:color w:val="000000"/>
                <w:sz w:val="22"/>
                <w:szCs w:val="22"/>
              </w:rPr>
              <w:t>Социальная политика</w:t>
            </w:r>
          </w:p>
        </w:tc>
        <w:tc>
          <w:tcPr>
            <w:tcW w:w="1369"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126 224,7</w:t>
            </w:r>
          </w:p>
        </w:tc>
        <w:tc>
          <w:tcPr>
            <w:tcW w:w="1267"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121 500,7</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-4 724,0</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-3,7%</w:t>
            </w:r>
          </w:p>
        </w:tc>
        <w:tc>
          <w:tcPr>
            <w:tcW w:w="1134"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3,2%</w:t>
            </w:r>
          </w:p>
        </w:tc>
        <w:tc>
          <w:tcPr>
            <w:tcW w:w="992"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3,1%</w:t>
            </w:r>
          </w:p>
        </w:tc>
      </w:tr>
      <w:tr w:rsidR="00A37F6E" w:rsidRPr="00A37F6E" w:rsidTr="00A37F6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11</w:t>
            </w:r>
          </w:p>
        </w:tc>
        <w:tc>
          <w:tcPr>
            <w:tcW w:w="2358"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both"/>
              <w:rPr>
                <w:color w:val="000000"/>
                <w:sz w:val="22"/>
                <w:szCs w:val="22"/>
              </w:rPr>
            </w:pPr>
            <w:r w:rsidRPr="00A37F6E">
              <w:rPr>
                <w:color w:val="000000"/>
                <w:sz w:val="22"/>
                <w:szCs w:val="22"/>
              </w:rPr>
              <w:t xml:space="preserve">Физическая культура и спорт </w:t>
            </w:r>
          </w:p>
        </w:tc>
        <w:tc>
          <w:tcPr>
            <w:tcW w:w="1369"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132 844,3</w:t>
            </w:r>
          </w:p>
        </w:tc>
        <w:tc>
          <w:tcPr>
            <w:tcW w:w="1267"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135 503,5</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2 659,2</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2,0%</w:t>
            </w:r>
          </w:p>
        </w:tc>
        <w:tc>
          <w:tcPr>
            <w:tcW w:w="1134"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3,4%</w:t>
            </w:r>
          </w:p>
        </w:tc>
        <w:tc>
          <w:tcPr>
            <w:tcW w:w="992"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3,5%</w:t>
            </w:r>
          </w:p>
        </w:tc>
      </w:tr>
      <w:tr w:rsidR="00A37F6E" w:rsidRPr="00A37F6E" w:rsidTr="00A37F6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12</w:t>
            </w:r>
          </w:p>
        </w:tc>
        <w:tc>
          <w:tcPr>
            <w:tcW w:w="2358"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both"/>
              <w:rPr>
                <w:color w:val="000000"/>
                <w:sz w:val="22"/>
                <w:szCs w:val="22"/>
              </w:rPr>
            </w:pPr>
            <w:r w:rsidRPr="00A37F6E">
              <w:rPr>
                <w:color w:val="000000"/>
                <w:sz w:val="22"/>
                <w:szCs w:val="22"/>
              </w:rPr>
              <w:t>Средства массовой информации</w:t>
            </w:r>
          </w:p>
        </w:tc>
        <w:tc>
          <w:tcPr>
            <w:tcW w:w="1369"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9 682,7</w:t>
            </w:r>
          </w:p>
        </w:tc>
        <w:tc>
          <w:tcPr>
            <w:tcW w:w="1267"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10 269,9</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587,3</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6,1%</w:t>
            </w:r>
          </w:p>
        </w:tc>
        <w:tc>
          <w:tcPr>
            <w:tcW w:w="1134"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0,2%</w:t>
            </w:r>
          </w:p>
        </w:tc>
        <w:tc>
          <w:tcPr>
            <w:tcW w:w="992"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0,3%</w:t>
            </w:r>
          </w:p>
        </w:tc>
      </w:tr>
      <w:tr w:rsidR="00A37F6E" w:rsidRPr="00A37F6E" w:rsidTr="00A37F6E">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13</w:t>
            </w:r>
          </w:p>
        </w:tc>
        <w:tc>
          <w:tcPr>
            <w:tcW w:w="2358"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both"/>
              <w:rPr>
                <w:color w:val="000000"/>
                <w:sz w:val="22"/>
                <w:szCs w:val="22"/>
              </w:rPr>
            </w:pPr>
            <w:r w:rsidRPr="00A37F6E">
              <w:rPr>
                <w:color w:val="000000"/>
                <w:sz w:val="22"/>
                <w:szCs w:val="22"/>
              </w:rPr>
              <w:t>Обслуживание государственного и муниципального долга</w:t>
            </w:r>
          </w:p>
        </w:tc>
        <w:tc>
          <w:tcPr>
            <w:tcW w:w="1369"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143,5</w:t>
            </w:r>
          </w:p>
        </w:tc>
        <w:tc>
          <w:tcPr>
            <w:tcW w:w="1267"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46,1</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-97,4</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-67,8%</w:t>
            </w:r>
          </w:p>
        </w:tc>
        <w:tc>
          <w:tcPr>
            <w:tcW w:w="1134"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0,0%</w:t>
            </w:r>
          </w:p>
        </w:tc>
        <w:tc>
          <w:tcPr>
            <w:tcW w:w="992"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0,0%</w:t>
            </w:r>
          </w:p>
        </w:tc>
      </w:tr>
      <w:tr w:rsidR="00A37F6E" w:rsidRPr="00A37F6E" w:rsidTr="00A37F6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7F6E" w:rsidRPr="00A37F6E" w:rsidRDefault="00A37F6E" w:rsidP="00A37F6E">
            <w:pPr>
              <w:jc w:val="center"/>
              <w:rPr>
                <w:color w:val="000000"/>
                <w:sz w:val="22"/>
                <w:szCs w:val="22"/>
              </w:rPr>
            </w:pPr>
            <w:r w:rsidRPr="00A37F6E">
              <w:rPr>
                <w:color w:val="000000"/>
                <w:sz w:val="22"/>
                <w:szCs w:val="22"/>
              </w:rPr>
              <w:t> </w:t>
            </w:r>
          </w:p>
        </w:tc>
        <w:tc>
          <w:tcPr>
            <w:tcW w:w="2358"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both"/>
              <w:rPr>
                <w:b/>
                <w:bCs/>
                <w:color w:val="000000"/>
                <w:sz w:val="22"/>
                <w:szCs w:val="22"/>
              </w:rPr>
            </w:pPr>
            <w:r w:rsidRPr="00A37F6E">
              <w:rPr>
                <w:b/>
                <w:bCs/>
                <w:color w:val="000000"/>
                <w:sz w:val="22"/>
                <w:szCs w:val="22"/>
              </w:rPr>
              <w:t>ВСЕГО РАСХОДОВ</w:t>
            </w:r>
          </w:p>
        </w:tc>
        <w:tc>
          <w:tcPr>
            <w:tcW w:w="1369"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b/>
                <w:bCs/>
                <w:color w:val="000000"/>
                <w:sz w:val="22"/>
                <w:szCs w:val="22"/>
              </w:rPr>
            </w:pPr>
            <w:r w:rsidRPr="00A37F6E">
              <w:rPr>
                <w:b/>
                <w:bCs/>
                <w:color w:val="000000"/>
                <w:sz w:val="22"/>
                <w:szCs w:val="22"/>
              </w:rPr>
              <w:t>3 952 247,7</w:t>
            </w:r>
          </w:p>
        </w:tc>
        <w:tc>
          <w:tcPr>
            <w:tcW w:w="1267"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b/>
                <w:bCs/>
                <w:color w:val="000000"/>
                <w:sz w:val="22"/>
                <w:szCs w:val="22"/>
              </w:rPr>
            </w:pPr>
            <w:r w:rsidRPr="00A37F6E">
              <w:rPr>
                <w:b/>
                <w:bCs/>
                <w:color w:val="000000"/>
                <w:sz w:val="22"/>
                <w:szCs w:val="22"/>
              </w:rPr>
              <w:t>3 917 202,4</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b/>
                <w:bCs/>
                <w:color w:val="000000"/>
                <w:sz w:val="22"/>
                <w:szCs w:val="22"/>
              </w:rPr>
            </w:pPr>
            <w:r w:rsidRPr="00A37F6E">
              <w:rPr>
                <w:b/>
                <w:bCs/>
                <w:color w:val="000000"/>
                <w:sz w:val="22"/>
                <w:szCs w:val="22"/>
              </w:rPr>
              <w:t>-35 045,3</w:t>
            </w:r>
          </w:p>
        </w:tc>
        <w:tc>
          <w:tcPr>
            <w:tcW w:w="1276"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b/>
                <w:bCs/>
                <w:color w:val="000000"/>
                <w:sz w:val="22"/>
                <w:szCs w:val="22"/>
              </w:rPr>
            </w:pPr>
            <w:r w:rsidRPr="00A37F6E">
              <w:rPr>
                <w:b/>
                <w:bCs/>
                <w:color w:val="000000"/>
                <w:sz w:val="22"/>
                <w:szCs w:val="22"/>
              </w:rPr>
              <w:t>-0,9%</w:t>
            </w:r>
          </w:p>
        </w:tc>
        <w:tc>
          <w:tcPr>
            <w:tcW w:w="1134"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b/>
                <w:bCs/>
                <w:color w:val="000000"/>
                <w:sz w:val="22"/>
                <w:szCs w:val="22"/>
              </w:rPr>
            </w:pPr>
            <w:r w:rsidRPr="00A37F6E">
              <w:rPr>
                <w:b/>
                <w:bCs/>
                <w:color w:val="000000"/>
                <w:sz w:val="22"/>
                <w:szCs w:val="22"/>
              </w:rPr>
              <w:t>100,0%</w:t>
            </w:r>
          </w:p>
        </w:tc>
        <w:tc>
          <w:tcPr>
            <w:tcW w:w="992" w:type="dxa"/>
            <w:tcBorders>
              <w:top w:val="nil"/>
              <w:left w:val="nil"/>
              <w:bottom w:val="single" w:sz="4" w:space="0" w:color="auto"/>
              <w:right w:val="single" w:sz="4" w:space="0" w:color="auto"/>
            </w:tcBorders>
            <w:shd w:val="clear" w:color="auto" w:fill="auto"/>
            <w:vAlign w:val="center"/>
            <w:hideMark/>
          </w:tcPr>
          <w:p w:rsidR="00A37F6E" w:rsidRPr="00A37F6E" w:rsidRDefault="00A37F6E" w:rsidP="00A37F6E">
            <w:pPr>
              <w:jc w:val="center"/>
              <w:rPr>
                <w:b/>
                <w:bCs/>
                <w:color w:val="000000"/>
                <w:sz w:val="22"/>
                <w:szCs w:val="22"/>
              </w:rPr>
            </w:pPr>
            <w:r w:rsidRPr="00A37F6E">
              <w:rPr>
                <w:b/>
                <w:bCs/>
                <w:color w:val="000000"/>
                <w:sz w:val="22"/>
                <w:szCs w:val="22"/>
              </w:rPr>
              <w:t>100,0%</w:t>
            </w:r>
          </w:p>
        </w:tc>
      </w:tr>
    </w:tbl>
    <w:p w:rsidR="00885EAA" w:rsidRPr="002F6FA4" w:rsidRDefault="00885EAA" w:rsidP="00FB77DD">
      <w:pPr>
        <w:tabs>
          <w:tab w:val="left" w:pos="284"/>
        </w:tabs>
        <w:suppressAutoHyphens/>
        <w:spacing w:line="283" w:lineRule="auto"/>
        <w:ind w:firstLine="709"/>
        <w:jc w:val="both"/>
        <w:rPr>
          <w:sz w:val="28"/>
          <w:szCs w:val="28"/>
          <w:lang w:eastAsia="x-none"/>
        </w:rPr>
      </w:pPr>
      <w:r w:rsidRPr="002F6FA4">
        <w:rPr>
          <w:sz w:val="28"/>
          <w:szCs w:val="28"/>
          <w:lang w:eastAsia="x-none"/>
        </w:rPr>
        <w:t>В программной структуре расходов бюджета округа на 202</w:t>
      </w:r>
      <w:r w:rsidR="005344FC" w:rsidRPr="002F6FA4">
        <w:rPr>
          <w:sz w:val="28"/>
          <w:szCs w:val="28"/>
          <w:lang w:eastAsia="x-none"/>
        </w:rPr>
        <w:t>4</w:t>
      </w:r>
      <w:r w:rsidRPr="002F6FA4">
        <w:rPr>
          <w:sz w:val="28"/>
          <w:szCs w:val="28"/>
          <w:lang w:eastAsia="x-none"/>
        </w:rPr>
        <w:t xml:space="preserve"> год объемы ассигнований изменяются по 1</w:t>
      </w:r>
      <w:r w:rsidR="000E1EEE">
        <w:rPr>
          <w:sz w:val="28"/>
          <w:szCs w:val="28"/>
          <w:lang w:eastAsia="x-none"/>
        </w:rPr>
        <w:t>2</w:t>
      </w:r>
      <w:r w:rsidRPr="002F6FA4">
        <w:rPr>
          <w:sz w:val="28"/>
          <w:szCs w:val="28"/>
          <w:lang w:eastAsia="x-none"/>
        </w:rPr>
        <w:t xml:space="preserve"> муниципальным программам (далее – МП, программа). </w:t>
      </w:r>
    </w:p>
    <w:p w:rsidR="00290A9E" w:rsidRPr="002F6FA4" w:rsidRDefault="00290A9E" w:rsidP="00FB77DD">
      <w:pPr>
        <w:tabs>
          <w:tab w:val="left" w:pos="284"/>
        </w:tabs>
        <w:suppressAutoHyphens/>
        <w:spacing w:line="283" w:lineRule="auto"/>
        <w:ind w:firstLine="709"/>
        <w:jc w:val="both"/>
        <w:rPr>
          <w:rFonts w:eastAsia="Calibri"/>
          <w:sz w:val="28"/>
          <w:szCs w:val="28"/>
          <w:lang w:eastAsia="x-none"/>
        </w:rPr>
      </w:pPr>
      <w:r w:rsidRPr="002F6FA4">
        <w:rPr>
          <w:sz w:val="28"/>
          <w:szCs w:val="28"/>
          <w:lang w:eastAsia="x-none"/>
        </w:rPr>
        <w:t>Расходы бюджета округа на реализацию 1</w:t>
      </w:r>
      <w:r w:rsidR="002F6FA4" w:rsidRPr="002F6FA4">
        <w:rPr>
          <w:sz w:val="28"/>
          <w:szCs w:val="28"/>
          <w:lang w:eastAsia="x-none"/>
        </w:rPr>
        <w:t>4</w:t>
      </w:r>
      <w:r w:rsidRPr="002F6FA4">
        <w:rPr>
          <w:sz w:val="28"/>
          <w:szCs w:val="28"/>
          <w:lang w:eastAsia="x-none"/>
        </w:rPr>
        <w:t xml:space="preserve"> муниципальных программ на 202</w:t>
      </w:r>
      <w:r w:rsidR="005344FC" w:rsidRPr="002F6FA4">
        <w:rPr>
          <w:sz w:val="28"/>
          <w:szCs w:val="28"/>
          <w:lang w:eastAsia="x-none"/>
        </w:rPr>
        <w:t>4</w:t>
      </w:r>
      <w:r w:rsidRPr="002F6FA4">
        <w:rPr>
          <w:sz w:val="28"/>
          <w:szCs w:val="28"/>
          <w:lang w:eastAsia="x-none"/>
        </w:rPr>
        <w:t xml:space="preserve"> год </w:t>
      </w:r>
      <w:r w:rsidR="000E1EEE">
        <w:rPr>
          <w:sz w:val="28"/>
          <w:szCs w:val="28"/>
          <w:lang w:eastAsia="x-none"/>
        </w:rPr>
        <w:t>уменьшаются</w:t>
      </w:r>
      <w:r w:rsidRPr="002F6FA4">
        <w:rPr>
          <w:rFonts w:eastAsia="Calibri"/>
          <w:sz w:val="28"/>
          <w:szCs w:val="28"/>
          <w:lang w:eastAsia="x-none"/>
        </w:rPr>
        <w:t xml:space="preserve"> на </w:t>
      </w:r>
      <w:r w:rsidR="000E1EEE">
        <w:rPr>
          <w:rFonts w:eastAsia="Calibri"/>
          <w:sz w:val="28"/>
          <w:szCs w:val="28"/>
          <w:lang w:eastAsia="x-none"/>
        </w:rPr>
        <w:t>47 002,6</w:t>
      </w:r>
      <w:r w:rsidR="000F0264" w:rsidRPr="002F6FA4">
        <w:rPr>
          <w:rFonts w:eastAsia="Calibri"/>
          <w:sz w:val="28"/>
          <w:szCs w:val="28"/>
          <w:lang w:eastAsia="x-none"/>
        </w:rPr>
        <w:t xml:space="preserve"> </w:t>
      </w:r>
      <w:r w:rsidRPr="002F6FA4">
        <w:rPr>
          <w:rFonts w:eastAsia="Calibri"/>
          <w:sz w:val="28"/>
          <w:szCs w:val="28"/>
          <w:lang w:eastAsia="x-none"/>
        </w:rPr>
        <w:t xml:space="preserve">тыс. рублей или </w:t>
      </w:r>
      <w:r w:rsidR="00AB6831">
        <w:rPr>
          <w:rFonts w:eastAsia="Calibri"/>
          <w:sz w:val="28"/>
          <w:szCs w:val="28"/>
          <w:lang w:eastAsia="x-none"/>
        </w:rPr>
        <w:t>1,</w:t>
      </w:r>
      <w:r w:rsidR="000E1EEE">
        <w:rPr>
          <w:rFonts w:eastAsia="Calibri"/>
          <w:sz w:val="28"/>
          <w:szCs w:val="28"/>
          <w:lang w:eastAsia="x-none"/>
        </w:rPr>
        <w:t>2</w:t>
      </w:r>
      <w:r w:rsidRPr="002F6FA4">
        <w:rPr>
          <w:rFonts w:eastAsia="Calibri"/>
          <w:sz w:val="28"/>
          <w:szCs w:val="28"/>
          <w:lang w:eastAsia="x-none"/>
        </w:rPr>
        <w:t>%.</w:t>
      </w:r>
    </w:p>
    <w:p w:rsidR="00885EAA" w:rsidRDefault="00290A9E" w:rsidP="00FB77DD">
      <w:pPr>
        <w:tabs>
          <w:tab w:val="left" w:pos="284"/>
        </w:tabs>
        <w:suppressAutoHyphens/>
        <w:spacing w:line="283" w:lineRule="auto"/>
        <w:ind w:firstLine="709"/>
        <w:jc w:val="both"/>
        <w:rPr>
          <w:sz w:val="28"/>
          <w:szCs w:val="28"/>
          <w:lang w:eastAsia="x-none"/>
        </w:rPr>
      </w:pPr>
      <w:r w:rsidRPr="002F6FA4">
        <w:rPr>
          <w:sz w:val="28"/>
          <w:szCs w:val="28"/>
          <w:lang w:eastAsia="x-none"/>
        </w:rPr>
        <w:t>Сравнительный анализ изменений объема и структуры расходов бюджета округа на реализацию муниципальных программ на 202</w:t>
      </w:r>
      <w:r w:rsidR="005344FC" w:rsidRPr="002F6FA4">
        <w:rPr>
          <w:sz w:val="28"/>
          <w:szCs w:val="28"/>
          <w:lang w:eastAsia="x-none"/>
        </w:rPr>
        <w:t>4</w:t>
      </w:r>
      <w:r w:rsidRPr="002F6FA4">
        <w:rPr>
          <w:sz w:val="28"/>
          <w:szCs w:val="28"/>
          <w:lang w:eastAsia="x-none"/>
        </w:rPr>
        <w:t xml:space="preserve"> год представлен в таблице 5.</w:t>
      </w:r>
    </w:p>
    <w:p w:rsidR="003907D0" w:rsidRDefault="003907D0" w:rsidP="003907D0">
      <w:pPr>
        <w:tabs>
          <w:tab w:val="left" w:pos="284"/>
        </w:tabs>
        <w:suppressAutoHyphens/>
        <w:jc w:val="right"/>
        <w:rPr>
          <w:sz w:val="20"/>
          <w:szCs w:val="20"/>
        </w:rPr>
      </w:pPr>
      <w:r w:rsidRPr="00BF7C59">
        <w:rPr>
          <w:sz w:val="20"/>
          <w:szCs w:val="20"/>
        </w:rPr>
        <w:t>т</w:t>
      </w:r>
      <w:r>
        <w:rPr>
          <w:sz w:val="20"/>
          <w:szCs w:val="20"/>
        </w:rPr>
        <w:t xml:space="preserve">аблица 5, </w:t>
      </w:r>
      <w:r w:rsidRPr="005972FB">
        <w:rPr>
          <w:sz w:val="20"/>
          <w:szCs w:val="20"/>
        </w:rPr>
        <w:t>тыс. рублей</w:t>
      </w:r>
    </w:p>
    <w:tbl>
      <w:tblPr>
        <w:tblW w:w="10348" w:type="dxa"/>
        <w:tblInd w:w="-459" w:type="dxa"/>
        <w:tblLayout w:type="fixed"/>
        <w:tblLook w:val="04A0" w:firstRow="1" w:lastRow="0" w:firstColumn="1" w:lastColumn="0" w:noHBand="0" w:noVBand="1"/>
      </w:tblPr>
      <w:tblGrid>
        <w:gridCol w:w="520"/>
        <w:gridCol w:w="4158"/>
        <w:gridCol w:w="1701"/>
        <w:gridCol w:w="1360"/>
        <w:gridCol w:w="1475"/>
        <w:gridCol w:w="1134"/>
      </w:tblGrid>
      <w:tr w:rsidR="000E1EEE" w:rsidRPr="000E1EEE" w:rsidTr="000E1EEE">
        <w:trPr>
          <w:trHeight w:val="63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 п/п</w:t>
            </w:r>
          </w:p>
        </w:tc>
        <w:tc>
          <w:tcPr>
            <w:tcW w:w="4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 xml:space="preserve">Утверждено решением о бюджете </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 xml:space="preserve">Проект решения </w:t>
            </w:r>
          </w:p>
        </w:tc>
        <w:tc>
          <w:tcPr>
            <w:tcW w:w="2609" w:type="dxa"/>
            <w:gridSpan w:val="2"/>
            <w:tcBorders>
              <w:top w:val="single" w:sz="4" w:space="0" w:color="auto"/>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Изменения</w:t>
            </w:r>
          </w:p>
        </w:tc>
      </w:tr>
      <w:tr w:rsidR="000E1EEE" w:rsidRPr="000E1EEE" w:rsidTr="000E1EEE">
        <w:trPr>
          <w:trHeight w:val="27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0E1EEE" w:rsidRPr="000E1EEE" w:rsidRDefault="000E1EEE" w:rsidP="000E1EEE">
            <w:pPr>
              <w:rPr>
                <w:color w:val="000000"/>
                <w:sz w:val="22"/>
                <w:szCs w:val="22"/>
              </w:rPr>
            </w:pPr>
          </w:p>
        </w:tc>
        <w:tc>
          <w:tcPr>
            <w:tcW w:w="4158" w:type="dxa"/>
            <w:vMerge/>
            <w:tcBorders>
              <w:top w:val="single" w:sz="4" w:space="0" w:color="auto"/>
              <w:left w:val="single" w:sz="4" w:space="0" w:color="auto"/>
              <w:bottom w:val="single" w:sz="4" w:space="0" w:color="auto"/>
              <w:right w:val="single" w:sz="4" w:space="0" w:color="auto"/>
            </w:tcBorders>
            <w:vAlign w:val="center"/>
            <w:hideMark/>
          </w:tcPr>
          <w:p w:rsidR="000E1EEE" w:rsidRPr="000E1EEE" w:rsidRDefault="000E1EEE" w:rsidP="000E1EEE">
            <w:pPr>
              <w:rPr>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1EEE" w:rsidRPr="000E1EEE" w:rsidRDefault="000E1EEE" w:rsidP="000E1EEE">
            <w:pPr>
              <w:rPr>
                <w:color w:val="000000"/>
                <w:sz w:val="22"/>
                <w:szCs w:val="22"/>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0E1EEE" w:rsidRPr="000E1EEE" w:rsidRDefault="000E1EEE" w:rsidP="000E1EEE">
            <w:pPr>
              <w:rPr>
                <w:color w:val="000000"/>
                <w:sz w:val="22"/>
                <w:szCs w:val="22"/>
              </w:rPr>
            </w:pPr>
          </w:p>
        </w:tc>
        <w:tc>
          <w:tcPr>
            <w:tcW w:w="1475"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гр.3-гр.2</w:t>
            </w:r>
          </w:p>
        </w:tc>
        <w:tc>
          <w:tcPr>
            <w:tcW w:w="1134"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гр.4/гр.2</w:t>
            </w:r>
          </w:p>
        </w:tc>
      </w:tr>
      <w:tr w:rsidR="000E1EEE" w:rsidRPr="000E1EEE" w:rsidTr="000E1EEE">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0E1EEE" w:rsidRPr="000E1EEE" w:rsidRDefault="000E1EEE" w:rsidP="000E1EEE">
            <w:pPr>
              <w:rPr>
                <w:color w:val="000000"/>
                <w:sz w:val="22"/>
                <w:szCs w:val="22"/>
              </w:rPr>
            </w:pPr>
          </w:p>
        </w:tc>
        <w:tc>
          <w:tcPr>
            <w:tcW w:w="4158"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2</w:t>
            </w:r>
          </w:p>
        </w:tc>
        <w:tc>
          <w:tcPr>
            <w:tcW w:w="1360"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3</w:t>
            </w:r>
          </w:p>
        </w:tc>
        <w:tc>
          <w:tcPr>
            <w:tcW w:w="1475"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5</w:t>
            </w:r>
          </w:p>
        </w:tc>
      </w:tr>
      <w:tr w:rsidR="000E1EEE" w:rsidRPr="000E1EEE" w:rsidTr="000E1EEE">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0E1EEE" w:rsidRPr="000E1EEE" w:rsidRDefault="000E1EEE" w:rsidP="000E1EEE">
            <w:pPr>
              <w:rPr>
                <w:color w:val="000000"/>
                <w:sz w:val="22"/>
                <w:szCs w:val="22"/>
              </w:rPr>
            </w:pPr>
          </w:p>
        </w:tc>
        <w:tc>
          <w:tcPr>
            <w:tcW w:w="4158"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both"/>
              <w:rPr>
                <w:b/>
                <w:bCs/>
                <w:color w:val="000000"/>
                <w:sz w:val="22"/>
                <w:szCs w:val="22"/>
              </w:rPr>
            </w:pPr>
            <w:r w:rsidRPr="000E1EEE">
              <w:rPr>
                <w:b/>
                <w:bCs/>
                <w:color w:val="000000"/>
                <w:sz w:val="22"/>
                <w:szCs w:val="22"/>
              </w:rPr>
              <w:t>Расходы бюджета, всего</w:t>
            </w:r>
          </w:p>
        </w:tc>
        <w:tc>
          <w:tcPr>
            <w:tcW w:w="1701"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b/>
                <w:bCs/>
                <w:color w:val="000000"/>
                <w:sz w:val="22"/>
                <w:szCs w:val="22"/>
              </w:rPr>
            </w:pPr>
            <w:r w:rsidRPr="000E1EEE">
              <w:rPr>
                <w:b/>
                <w:bCs/>
                <w:color w:val="000000"/>
                <w:sz w:val="22"/>
                <w:szCs w:val="22"/>
              </w:rPr>
              <w:t>3 952 247,7</w:t>
            </w:r>
          </w:p>
        </w:tc>
        <w:tc>
          <w:tcPr>
            <w:tcW w:w="1360"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b/>
                <w:bCs/>
                <w:color w:val="000000"/>
                <w:sz w:val="22"/>
                <w:szCs w:val="22"/>
              </w:rPr>
            </w:pPr>
            <w:r w:rsidRPr="000E1EEE">
              <w:rPr>
                <w:b/>
                <w:bCs/>
                <w:color w:val="000000"/>
                <w:sz w:val="22"/>
                <w:szCs w:val="22"/>
              </w:rPr>
              <w:t>3 917 202,4</w:t>
            </w:r>
          </w:p>
        </w:tc>
        <w:tc>
          <w:tcPr>
            <w:tcW w:w="1475"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b/>
                <w:bCs/>
                <w:color w:val="000000"/>
                <w:sz w:val="22"/>
                <w:szCs w:val="22"/>
              </w:rPr>
            </w:pPr>
            <w:r w:rsidRPr="000E1EEE">
              <w:rPr>
                <w:b/>
                <w:bCs/>
                <w:color w:val="000000"/>
                <w:sz w:val="22"/>
                <w:szCs w:val="22"/>
              </w:rPr>
              <w:t>-35 045,3</w:t>
            </w:r>
          </w:p>
        </w:tc>
        <w:tc>
          <w:tcPr>
            <w:tcW w:w="1134"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b/>
                <w:bCs/>
                <w:color w:val="000000"/>
                <w:sz w:val="22"/>
                <w:szCs w:val="22"/>
              </w:rPr>
            </w:pPr>
            <w:r w:rsidRPr="000E1EEE">
              <w:rPr>
                <w:b/>
                <w:bCs/>
                <w:color w:val="000000"/>
                <w:sz w:val="22"/>
                <w:szCs w:val="22"/>
              </w:rPr>
              <w:t>-0,9%</w:t>
            </w:r>
          </w:p>
        </w:tc>
      </w:tr>
      <w:tr w:rsidR="000E1EEE" w:rsidRPr="000E1EEE" w:rsidTr="000E1EEE">
        <w:trPr>
          <w:trHeight w:val="51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0E1EEE" w:rsidRPr="000E1EEE" w:rsidRDefault="000E1EEE" w:rsidP="000E1EEE">
            <w:pPr>
              <w:rPr>
                <w:color w:val="000000"/>
                <w:sz w:val="22"/>
                <w:szCs w:val="22"/>
              </w:rPr>
            </w:pPr>
          </w:p>
        </w:tc>
        <w:tc>
          <w:tcPr>
            <w:tcW w:w="4158"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both"/>
              <w:rPr>
                <w:b/>
                <w:bCs/>
                <w:color w:val="000000"/>
                <w:sz w:val="22"/>
                <w:szCs w:val="22"/>
              </w:rPr>
            </w:pPr>
            <w:r w:rsidRPr="000E1EEE">
              <w:rPr>
                <w:b/>
                <w:bCs/>
                <w:color w:val="000000"/>
                <w:sz w:val="22"/>
                <w:szCs w:val="22"/>
              </w:rPr>
              <w:t>Расходы на реализацию муниципальных программ, 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b/>
                <w:bCs/>
                <w:color w:val="000000"/>
                <w:sz w:val="22"/>
                <w:szCs w:val="22"/>
              </w:rPr>
            </w:pPr>
            <w:r w:rsidRPr="000E1EEE">
              <w:rPr>
                <w:b/>
                <w:bCs/>
                <w:color w:val="000000"/>
                <w:sz w:val="22"/>
                <w:szCs w:val="22"/>
              </w:rPr>
              <w:t>3 906 969,9</w:t>
            </w:r>
          </w:p>
        </w:tc>
        <w:tc>
          <w:tcPr>
            <w:tcW w:w="1360"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b/>
                <w:bCs/>
                <w:color w:val="000000"/>
                <w:sz w:val="22"/>
                <w:szCs w:val="22"/>
              </w:rPr>
            </w:pPr>
            <w:r w:rsidRPr="000E1EEE">
              <w:rPr>
                <w:b/>
                <w:bCs/>
                <w:color w:val="000000"/>
                <w:sz w:val="22"/>
                <w:szCs w:val="22"/>
              </w:rPr>
              <w:t>3 859 967,3</w:t>
            </w:r>
          </w:p>
        </w:tc>
        <w:tc>
          <w:tcPr>
            <w:tcW w:w="1475"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b/>
                <w:bCs/>
                <w:color w:val="000000"/>
                <w:sz w:val="22"/>
                <w:szCs w:val="22"/>
              </w:rPr>
            </w:pPr>
            <w:r w:rsidRPr="000E1EEE">
              <w:rPr>
                <w:b/>
                <w:bCs/>
                <w:color w:val="000000"/>
                <w:sz w:val="22"/>
                <w:szCs w:val="22"/>
              </w:rPr>
              <w:t>-47 002,6</w:t>
            </w:r>
          </w:p>
        </w:tc>
        <w:tc>
          <w:tcPr>
            <w:tcW w:w="1134"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b/>
                <w:bCs/>
                <w:color w:val="000000"/>
                <w:sz w:val="22"/>
                <w:szCs w:val="22"/>
              </w:rPr>
            </w:pPr>
            <w:r w:rsidRPr="000E1EEE">
              <w:rPr>
                <w:b/>
                <w:bCs/>
                <w:color w:val="000000"/>
                <w:sz w:val="22"/>
                <w:szCs w:val="22"/>
              </w:rPr>
              <w:t>-1,2%</w:t>
            </w:r>
          </w:p>
        </w:tc>
      </w:tr>
      <w:tr w:rsidR="000E1EEE" w:rsidRPr="000E1EEE" w:rsidTr="000E1EEE">
        <w:trPr>
          <w:trHeight w:val="6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E1EEE" w:rsidRPr="000E1EEE" w:rsidRDefault="000E1EEE" w:rsidP="000E1EEE">
            <w:pPr>
              <w:jc w:val="center"/>
              <w:rPr>
                <w:color w:val="000000"/>
                <w:sz w:val="22"/>
                <w:szCs w:val="22"/>
              </w:rPr>
            </w:pPr>
            <w:r w:rsidRPr="000E1EEE">
              <w:rPr>
                <w:color w:val="000000"/>
                <w:sz w:val="22"/>
                <w:szCs w:val="22"/>
              </w:rPr>
              <w:t>1</w:t>
            </w:r>
          </w:p>
        </w:tc>
        <w:tc>
          <w:tcPr>
            <w:tcW w:w="4158"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both"/>
              <w:rPr>
                <w:color w:val="000000"/>
                <w:sz w:val="22"/>
                <w:szCs w:val="22"/>
              </w:rPr>
            </w:pPr>
            <w:r w:rsidRPr="000E1EEE">
              <w:rPr>
                <w:color w:val="000000"/>
                <w:sz w:val="22"/>
                <w:szCs w:val="22"/>
              </w:rPr>
              <w:t>Муниципальная программа "Образование" на 2024-2026 годы</w:t>
            </w:r>
          </w:p>
        </w:tc>
        <w:tc>
          <w:tcPr>
            <w:tcW w:w="1701"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1 894 277,6</w:t>
            </w:r>
          </w:p>
        </w:tc>
        <w:tc>
          <w:tcPr>
            <w:tcW w:w="1360"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1 876 874,2</w:t>
            </w:r>
          </w:p>
        </w:tc>
        <w:tc>
          <w:tcPr>
            <w:tcW w:w="1475"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-17 403,4</w:t>
            </w:r>
          </w:p>
        </w:tc>
        <w:tc>
          <w:tcPr>
            <w:tcW w:w="1134"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-0,9%</w:t>
            </w:r>
          </w:p>
        </w:tc>
      </w:tr>
      <w:tr w:rsidR="000E1EEE" w:rsidRPr="000E1EEE" w:rsidTr="000E1EEE">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E1EEE" w:rsidRPr="000E1EEE" w:rsidRDefault="000E1EEE" w:rsidP="000E1EEE">
            <w:pPr>
              <w:jc w:val="center"/>
              <w:rPr>
                <w:color w:val="000000"/>
                <w:sz w:val="22"/>
                <w:szCs w:val="22"/>
              </w:rPr>
            </w:pPr>
            <w:r w:rsidRPr="000E1EEE">
              <w:rPr>
                <w:color w:val="000000"/>
                <w:sz w:val="22"/>
                <w:szCs w:val="22"/>
              </w:rPr>
              <w:t>2</w:t>
            </w:r>
          </w:p>
        </w:tc>
        <w:tc>
          <w:tcPr>
            <w:tcW w:w="4158"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both"/>
              <w:rPr>
                <w:color w:val="000000"/>
                <w:sz w:val="22"/>
                <w:szCs w:val="22"/>
              </w:rPr>
            </w:pPr>
            <w:r w:rsidRPr="000E1EEE">
              <w:rPr>
                <w:color w:val="000000"/>
                <w:sz w:val="22"/>
                <w:szCs w:val="22"/>
              </w:rPr>
              <w:t>Муниципальная программа "Обеспечение социальной стабильности" на 2024-2026 годы</w:t>
            </w:r>
          </w:p>
        </w:tc>
        <w:tc>
          <w:tcPr>
            <w:tcW w:w="1701"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91 093,4</w:t>
            </w:r>
          </w:p>
        </w:tc>
        <w:tc>
          <w:tcPr>
            <w:tcW w:w="1360"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91 423,9</w:t>
            </w:r>
          </w:p>
        </w:tc>
        <w:tc>
          <w:tcPr>
            <w:tcW w:w="1475"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330,5</w:t>
            </w:r>
          </w:p>
        </w:tc>
        <w:tc>
          <w:tcPr>
            <w:tcW w:w="1134"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0,4%</w:t>
            </w:r>
          </w:p>
        </w:tc>
      </w:tr>
      <w:tr w:rsidR="000E1EEE" w:rsidRPr="000E1EEE" w:rsidTr="000E1EEE">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E1EEE" w:rsidRPr="000E1EEE" w:rsidRDefault="000E1EEE" w:rsidP="000E1EEE">
            <w:pPr>
              <w:jc w:val="center"/>
              <w:rPr>
                <w:color w:val="000000"/>
                <w:sz w:val="22"/>
                <w:szCs w:val="22"/>
              </w:rPr>
            </w:pPr>
            <w:r w:rsidRPr="000E1EEE">
              <w:rPr>
                <w:color w:val="000000"/>
                <w:sz w:val="22"/>
                <w:szCs w:val="22"/>
              </w:rPr>
              <w:t>3</w:t>
            </w:r>
          </w:p>
        </w:tc>
        <w:tc>
          <w:tcPr>
            <w:tcW w:w="4158"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both"/>
              <w:rPr>
                <w:color w:val="000000"/>
                <w:sz w:val="22"/>
                <w:szCs w:val="22"/>
              </w:rPr>
            </w:pPr>
            <w:r w:rsidRPr="000E1EEE">
              <w:rPr>
                <w:color w:val="000000"/>
                <w:sz w:val="22"/>
                <w:szCs w:val="22"/>
              </w:rPr>
              <w:t>Муниципальная программа «Культура»  на 2024-2026 годы</w:t>
            </w:r>
          </w:p>
        </w:tc>
        <w:tc>
          <w:tcPr>
            <w:tcW w:w="1701"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339 177,5</w:t>
            </w:r>
          </w:p>
        </w:tc>
        <w:tc>
          <w:tcPr>
            <w:tcW w:w="1360"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413 453,5</w:t>
            </w:r>
          </w:p>
        </w:tc>
        <w:tc>
          <w:tcPr>
            <w:tcW w:w="1475"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74 276,0</w:t>
            </w:r>
          </w:p>
        </w:tc>
        <w:tc>
          <w:tcPr>
            <w:tcW w:w="1134"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21,9%</w:t>
            </w:r>
          </w:p>
        </w:tc>
      </w:tr>
      <w:tr w:rsidR="000E1EEE" w:rsidRPr="000E1EEE" w:rsidTr="000E1EEE">
        <w:trPr>
          <w:trHeight w:val="7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E1EEE" w:rsidRPr="000E1EEE" w:rsidRDefault="000E1EEE" w:rsidP="000E1EEE">
            <w:pPr>
              <w:jc w:val="center"/>
              <w:rPr>
                <w:color w:val="000000"/>
                <w:sz w:val="22"/>
                <w:szCs w:val="22"/>
              </w:rPr>
            </w:pPr>
            <w:r w:rsidRPr="000E1EEE">
              <w:rPr>
                <w:color w:val="000000"/>
                <w:sz w:val="22"/>
                <w:szCs w:val="22"/>
              </w:rPr>
              <w:t>4</w:t>
            </w:r>
          </w:p>
        </w:tc>
        <w:tc>
          <w:tcPr>
            <w:tcW w:w="4158"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both"/>
              <w:rPr>
                <w:color w:val="000000"/>
                <w:sz w:val="22"/>
                <w:szCs w:val="22"/>
              </w:rPr>
            </w:pPr>
            <w:r w:rsidRPr="000E1EEE">
              <w:rPr>
                <w:color w:val="000000"/>
                <w:sz w:val="22"/>
                <w:szCs w:val="22"/>
              </w:rPr>
              <w:t>Муниципальная программа  «Обеспечение общественного порядка и безопасности населения» на 2024-2026 годы</w:t>
            </w:r>
          </w:p>
        </w:tc>
        <w:tc>
          <w:tcPr>
            <w:tcW w:w="1701"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32 608,3</w:t>
            </w:r>
          </w:p>
        </w:tc>
        <w:tc>
          <w:tcPr>
            <w:tcW w:w="1360"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30 506,2</w:t>
            </w:r>
          </w:p>
        </w:tc>
        <w:tc>
          <w:tcPr>
            <w:tcW w:w="1475"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-2 102,1</w:t>
            </w:r>
          </w:p>
        </w:tc>
        <w:tc>
          <w:tcPr>
            <w:tcW w:w="1134"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-6,4%</w:t>
            </w:r>
          </w:p>
        </w:tc>
      </w:tr>
      <w:tr w:rsidR="000E1EEE" w:rsidRPr="000E1EEE" w:rsidTr="000E1EEE">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E1EEE" w:rsidRPr="000E1EEE" w:rsidRDefault="000E1EEE" w:rsidP="000E1EEE">
            <w:pPr>
              <w:jc w:val="center"/>
              <w:rPr>
                <w:color w:val="000000"/>
                <w:sz w:val="22"/>
                <w:szCs w:val="22"/>
              </w:rPr>
            </w:pPr>
            <w:r w:rsidRPr="000E1EEE">
              <w:rPr>
                <w:color w:val="000000"/>
                <w:sz w:val="22"/>
                <w:szCs w:val="22"/>
              </w:rPr>
              <w:t>5</w:t>
            </w:r>
          </w:p>
        </w:tc>
        <w:tc>
          <w:tcPr>
            <w:tcW w:w="4158"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both"/>
              <w:rPr>
                <w:color w:val="000000"/>
                <w:sz w:val="22"/>
                <w:szCs w:val="22"/>
              </w:rPr>
            </w:pPr>
            <w:r w:rsidRPr="000E1EEE">
              <w:rPr>
                <w:color w:val="000000"/>
                <w:sz w:val="22"/>
                <w:szCs w:val="22"/>
              </w:rPr>
              <w:t>Муниципальная программа «Экономический потенциал» на 2024-2026 годы</w:t>
            </w:r>
          </w:p>
        </w:tc>
        <w:tc>
          <w:tcPr>
            <w:tcW w:w="1701"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121,6</w:t>
            </w:r>
          </w:p>
        </w:tc>
        <w:tc>
          <w:tcPr>
            <w:tcW w:w="1360"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121,6</w:t>
            </w:r>
          </w:p>
        </w:tc>
        <w:tc>
          <w:tcPr>
            <w:tcW w:w="1475"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0,0%</w:t>
            </w:r>
          </w:p>
        </w:tc>
      </w:tr>
      <w:tr w:rsidR="000E1EEE" w:rsidRPr="000E1EEE" w:rsidTr="000E1EEE">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E1EEE" w:rsidRPr="000E1EEE" w:rsidRDefault="000E1EEE" w:rsidP="000E1EEE">
            <w:pPr>
              <w:jc w:val="center"/>
              <w:rPr>
                <w:color w:val="000000"/>
                <w:sz w:val="22"/>
                <w:szCs w:val="22"/>
              </w:rPr>
            </w:pPr>
            <w:r w:rsidRPr="000E1EEE">
              <w:rPr>
                <w:color w:val="000000"/>
                <w:sz w:val="22"/>
                <w:szCs w:val="22"/>
              </w:rPr>
              <w:t>6</w:t>
            </w:r>
          </w:p>
        </w:tc>
        <w:tc>
          <w:tcPr>
            <w:tcW w:w="4158"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both"/>
              <w:rPr>
                <w:color w:val="000000"/>
                <w:sz w:val="22"/>
                <w:szCs w:val="22"/>
              </w:rPr>
            </w:pPr>
            <w:r w:rsidRPr="000E1EEE">
              <w:rPr>
                <w:color w:val="000000"/>
                <w:sz w:val="22"/>
                <w:szCs w:val="22"/>
              </w:rPr>
              <w:t>Муниципальная программа  «Комфортная среда проживания» на 2024-2026 годы</w:t>
            </w:r>
          </w:p>
        </w:tc>
        <w:tc>
          <w:tcPr>
            <w:tcW w:w="1701"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559 917,9</w:t>
            </w:r>
          </w:p>
        </w:tc>
        <w:tc>
          <w:tcPr>
            <w:tcW w:w="1360"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476 342,7</w:t>
            </w:r>
          </w:p>
        </w:tc>
        <w:tc>
          <w:tcPr>
            <w:tcW w:w="1475"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-83 575,2</w:t>
            </w:r>
          </w:p>
        </w:tc>
        <w:tc>
          <w:tcPr>
            <w:tcW w:w="1134"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-14,9%</w:t>
            </w:r>
          </w:p>
        </w:tc>
      </w:tr>
      <w:tr w:rsidR="000E1EEE" w:rsidRPr="000E1EEE" w:rsidTr="000E1EEE">
        <w:trPr>
          <w:trHeight w:val="6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E1EEE" w:rsidRPr="000E1EEE" w:rsidRDefault="000E1EEE" w:rsidP="000E1EEE">
            <w:pPr>
              <w:jc w:val="center"/>
              <w:rPr>
                <w:color w:val="000000"/>
                <w:sz w:val="22"/>
                <w:szCs w:val="22"/>
              </w:rPr>
            </w:pPr>
            <w:r w:rsidRPr="000E1EEE">
              <w:rPr>
                <w:color w:val="000000"/>
                <w:sz w:val="22"/>
                <w:szCs w:val="22"/>
              </w:rPr>
              <w:t>7</w:t>
            </w:r>
          </w:p>
        </w:tc>
        <w:tc>
          <w:tcPr>
            <w:tcW w:w="4158"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both"/>
              <w:rPr>
                <w:color w:val="000000"/>
                <w:sz w:val="22"/>
                <w:szCs w:val="22"/>
              </w:rPr>
            </w:pPr>
            <w:r w:rsidRPr="000E1EEE">
              <w:rPr>
                <w:color w:val="000000"/>
                <w:sz w:val="22"/>
                <w:szCs w:val="22"/>
              </w:rPr>
              <w:t xml:space="preserve">Муниципальная программа «Муниципальное управление и </w:t>
            </w:r>
            <w:r w:rsidRPr="000E1EEE">
              <w:rPr>
                <w:color w:val="000000"/>
                <w:sz w:val="22"/>
                <w:szCs w:val="22"/>
              </w:rPr>
              <w:lastRenderedPageBreak/>
              <w:t>гражданское общество» на 2024-2026 годы</w:t>
            </w:r>
          </w:p>
        </w:tc>
        <w:tc>
          <w:tcPr>
            <w:tcW w:w="1701"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lastRenderedPageBreak/>
              <w:t>297 616,1</w:t>
            </w:r>
          </w:p>
        </w:tc>
        <w:tc>
          <w:tcPr>
            <w:tcW w:w="1360"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299 680,4</w:t>
            </w:r>
          </w:p>
        </w:tc>
        <w:tc>
          <w:tcPr>
            <w:tcW w:w="1475"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2 064,3</w:t>
            </w:r>
          </w:p>
        </w:tc>
        <w:tc>
          <w:tcPr>
            <w:tcW w:w="1134"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0,7%</w:t>
            </w:r>
          </w:p>
        </w:tc>
      </w:tr>
      <w:tr w:rsidR="000E1EEE" w:rsidRPr="000E1EEE" w:rsidTr="000E1EEE">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E1EEE" w:rsidRPr="000E1EEE" w:rsidRDefault="000E1EEE" w:rsidP="000E1EEE">
            <w:pPr>
              <w:jc w:val="center"/>
              <w:rPr>
                <w:color w:val="000000"/>
                <w:sz w:val="22"/>
                <w:szCs w:val="22"/>
              </w:rPr>
            </w:pPr>
            <w:r w:rsidRPr="000E1EEE">
              <w:rPr>
                <w:color w:val="000000"/>
                <w:sz w:val="22"/>
                <w:szCs w:val="22"/>
              </w:rPr>
              <w:lastRenderedPageBreak/>
              <w:t>8</w:t>
            </w:r>
          </w:p>
        </w:tc>
        <w:tc>
          <w:tcPr>
            <w:tcW w:w="4158"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both"/>
              <w:rPr>
                <w:color w:val="000000"/>
                <w:sz w:val="22"/>
                <w:szCs w:val="22"/>
              </w:rPr>
            </w:pPr>
            <w:r w:rsidRPr="000E1EEE">
              <w:rPr>
                <w:color w:val="000000"/>
                <w:sz w:val="22"/>
                <w:szCs w:val="22"/>
              </w:rPr>
              <w:t>Муниципальная программа «Молодежная политика»  на 2024-2026 годы</w:t>
            </w:r>
          </w:p>
        </w:tc>
        <w:tc>
          <w:tcPr>
            <w:tcW w:w="1701"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33 139,6</w:t>
            </w:r>
          </w:p>
        </w:tc>
        <w:tc>
          <w:tcPr>
            <w:tcW w:w="1360"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31 853,1</w:t>
            </w:r>
          </w:p>
        </w:tc>
        <w:tc>
          <w:tcPr>
            <w:tcW w:w="1475"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-1 286,5</w:t>
            </w:r>
          </w:p>
        </w:tc>
        <w:tc>
          <w:tcPr>
            <w:tcW w:w="1134"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-3,9%</w:t>
            </w:r>
          </w:p>
        </w:tc>
      </w:tr>
      <w:tr w:rsidR="000E1EEE" w:rsidRPr="000E1EEE" w:rsidTr="000E1EEE">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E1EEE" w:rsidRPr="000E1EEE" w:rsidRDefault="000E1EEE" w:rsidP="000E1EEE">
            <w:pPr>
              <w:jc w:val="center"/>
              <w:rPr>
                <w:color w:val="000000"/>
                <w:sz w:val="22"/>
                <w:szCs w:val="22"/>
              </w:rPr>
            </w:pPr>
            <w:r w:rsidRPr="000E1EEE">
              <w:rPr>
                <w:color w:val="000000"/>
                <w:sz w:val="22"/>
                <w:szCs w:val="22"/>
              </w:rPr>
              <w:t>9</w:t>
            </w:r>
          </w:p>
        </w:tc>
        <w:tc>
          <w:tcPr>
            <w:tcW w:w="4158"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both"/>
              <w:rPr>
                <w:color w:val="000000"/>
                <w:sz w:val="22"/>
                <w:szCs w:val="22"/>
              </w:rPr>
            </w:pPr>
            <w:r w:rsidRPr="000E1EEE">
              <w:rPr>
                <w:color w:val="000000"/>
                <w:sz w:val="22"/>
                <w:szCs w:val="22"/>
              </w:rPr>
              <w:t>Муниципальная программа «Укрепление общественного здоровья в Печенгском муниципальном округе» на 2023-2024 годы</w:t>
            </w:r>
          </w:p>
        </w:tc>
        <w:tc>
          <w:tcPr>
            <w:tcW w:w="1701"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1 600,0</w:t>
            </w:r>
          </w:p>
        </w:tc>
        <w:tc>
          <w:tcPr>
            <w:tcW w:w="1360"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1 600,0</w:t>
            </w:r>
          </w:p>
        </w:tc>
        <w:tc>
          <w:tcPr>
            <w:tcW w:w="1475"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w:t>
            </w:r>
          </w:p>
        </w:tc>
      </w:tr>
      <w:tr w:rsidR="000E1EEE" w:rsidRPr="000E1EEE" w:rsidTr="000E1EEE">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E1EEE" w:rsidRPr="000E1EEE" w:rsidRDefault="000E1EEE" w:rsidP="000E1EEE">
            <w:pPr>
              <w:jc w:val="center"/>
              <w:rPr>
                <w:color w:val="000000"/>
                <w:sz w:val="22"/>
                <w:szCs w:val="22"/>
              </w:rPr>
            </w:pPr>
            <w:r w:rsidRPr="000E1EEE">
              <w:rPr>
                <w:color w:val="000000"/>
                <w:sz w:val="22"/>
                <w:szCs w:val="22"/>
              </w:rPr>
              <w:t>10</w:t>
            </w:r>
          </w:p>
        </w:tc>
        <w:tc>
          <w:tcPr>
            <w:tcW w:w="4158"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both"/>
              <w:rPr>
                <w:color w:val="000000"/>
                <w:sz w:val="22"/>
                <w:szCs w:val="22"/>
              </w:rPr>
            </w:pPr>
            <w:r w:rsidRPr="000E1EEE">
              <w:rPr>
                <w:color w:val="000000"/>
                <w:sz w:val="22"/>
                <w:szCs w:val="22"/>
              </w:rPr>
              <w:t>Муниципальная программа «Физическая культура и спорт»  на 2024-2026 годы</w:t>
            </w:r>
          </w:p>
        </w:tc>
        <w:tc>
          <w:tcPr>
            <w:tcW w:w="1701"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112 036,0</w:t>
            </w:r>
          </w:p>
        </w:tc>
        <w:tc>
          <w:tcPr>
            <w:tcW w:w="1360"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114 398,6</w:t>
            </w:r>
          </w:p>
        </w:tc>
        <w:tc>
          <w:tcPr>
            <w:tcW w:w="1475"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2 362,6</w:t>
            </w:r>
          </w:p>
        </w:tc>
        <w:tc>
          <w:tcPr>
            <w:tcW w:w="1134"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2,1%</w:t>
            </w:r>
          </w:p>
        </w:tc>
      </w:tr>
      <w:tr w:rsidR="000E1EEE" w:rsidRPr="000E1EEE" w:rsidTr="000E1EEE">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E1EEE" w:rsidRPr="000E1EEE" w:rsidRDefault="000E1EEE" w:rsidP="000E1EEE">
            <w:pPr>
              <w:jc w:val="center"/>
              <w:rPr>
                <w:color w:val="000000"/>
                <w:sz w:val="22"/>
                <w:szCs w:val="22"/>
              </w:rPr>
            </w:pPr>
            <w:r w:rsidRPr="000E1EEE">
              <w:rPr>
                <w:color w:val="000000"/>
                <w:sz w:val="22"/>
                <w:szCs w:val="22"/>
              </w:rPr>
              <w:t>11</w:t>
            </w:r>
          </w:p>
        </w:tc>
        <w:tc>
          <w:tcPr>
            <w:tcW w:w="4158"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both"/>
              <w:rPr>
                <w:color w:val="000000"/>
                <w:sz w:val="22"/>
                <w:szCs w:val="22"/>
              </w:rPr>
            </w:pPr>
            <w:r w:rsidRPr="000E1EEE">
              <w:rPr>
                <w:color w:val="000000"/>
                <w:sz w:val="22"/>
                <w:szCs w:val="22"/>
              </w:rPr>
              <w:t>Муниципальная программа «Муниципальные финансы» на 2024-2026 годы</w:t>
            </w:r>
          </w:p>
        </w:tc>
        <w:tc>
          <w:tcPr>
            <w:tcW w:w="1701"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67 748,0</w:t>
            </w:r>
          </w:p>
        </w:tc>
        <w:tc>
          <w:tcPr>
            <w:tcW w:w="1360"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68 338,2</w:t>
            </w:r>
          </w:p>
        </w:tc>
        <w:tc>
          <w:tcPr>
            <w:tcW w:w="1475"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590,3</w:t>
            </w:r>
          </w:p>
        </w:tc>
        <w:tc>
          <w:tcPr>
            <w:tcW w:w="1134"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0,9%</w:t>
            </w:r>
          </w:p>
        </w:tc>
      </w:tr>
      <w:tr w:rsidR="000E1EEE" w:rsidRPr="000E1EEE" w:rsidTr="000E1EEE">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E1EEE" w:rsidRPr="000E1EEE" w:rsidRDefault="000E1EEE" w:rsidP="000E1EEE">
            <w:pPr>
              <w:jc w:val="center"/>
              <w:rPr>
                <w:color w:val="000000"/>
                <w:sz w:val="22"/>
                <w:szCs w:val="22"/>
              </w:rPr>
            </w:pPr>
            <w:r w:rsidRPr="000E1EEE">
              <w:rPr>
                <w:color w:val="000000"/>
                <w:sz w:val="22"/>
                <w:szCs w:val="22"/>
              </w:rPr>
              <w:t>12</w:t>
            </w:r>
          </w:p>
        </w:tc>
        <w:tc>
          <w:tcPr>
            <w:tcW w:w="4158"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both"/>
              <w:rPr>
                <w:color w:val="000000"/>
                <w:sz w:val="22"/>
                <w:szCs w:val="22"/>
              </w:rPr>
            </w:pPr>
            <w:r w:rsidRPr="000E1EEE">
              <w:rPr>
                <w:color w:val="000000"/>
                <w:sz w:val="22"/>
                <w:szCs w:val="22"/>
              </w:rPr>
              <w:t>Муниципальная программа «Энергосбережение и повышение энергоэффективности» на 2024-2026 годы</w:t>
            </w:r>
          </w:p>
        </w:tc>
        <w:tc>
          <w:tcPr>
            <w:tcW w:w="1701"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750,0</w:t>
            </w:r>
          </w:p>
        </w:tc>
        <w:tc>
          <w:tcPr>
            <w:tcW w:w="1360"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645,8</w:t>
            </w:r>
          </w:p>
        </w:tc>
        <w:tc>
          <w:tcPr>
            <w:tcW w:w="1475"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-104,2</w:t>
            </w:r>
          </w:p>
        </w:tc>
        <w:tc>
          <w:tcPr>
            <w:tcW w:w="1134"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-13,9%</w:t>
            </w:r>
          </w:p>
        </w:tc>
      </w:tr>
      <w:tr w:rsidR="000E1EEE" w:rsidRPr="000E1EEE" w:rsidTr="000E1EEE">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E1EEE" w:rsidRPr="000E1EEE" w:rsidRDefault="000E1EEE" w:rsidP="000E1EEE">
            <w:pPr>
              <w:jc w:val="center"/>
              <w:rPr>
                <w:color w:val="000000"/>
                <w:sz w:val="22"/>
                <w:szCs w:val="22"/>
              </w:rPr>
            </w:pPr>
            <w:r w:rsidRPr="000E1EEE">
              <w:rPr>
                <w:color w:val="000000"/>
                <w:sz w:val="22"/>
                <w:szCs w:val="22"/>
              </w:rPr>
              <w:t>13</w:t>
            </w:r>
          </w:p>
        </w:tc>
        <w:tc>
          <w:tcPr>
            <w:tcW w:w="4158"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both"/>
              <w:rPr>
                <w:color w:val="000000"/>
                <w:sz w:val="22"/>
                <w:szCs w:val="22"/>
              </w:rPr>
            </w:pPr>
            <w:r w:rsidRPr="000E1EEE">
              <w:rPr>
                <w:color w:val="000000"/>
                <w:sz w:val="22"/>
                <w:szCs w:val="22"/>
              </w:rPr>
              <w:t>Муниципальная программа «Транспортная система»  на 2024-2026 годы</w:t>
            </w:r>
          </w:p>
        </w:tc>
        <w:tc>
          <w:tcPr>
            <w:tcW w:w="1701"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279 750,3</w:t>
            </w:r>
          </w:p>
        </w:tc>
        <w:tc>
          <w:tcPr>
            <w:tcW w:w="1360"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255 711,5</w:t>
            </w:r>
          </w:p>
        </w:tc>
        <w:tc>
          <w:tcPr>
            <w:tcW w:w="1475"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-24 038,9</w:t>
            </w:r>
          </w:p>
        </w:tc>
        <w:tc>
          <w:tcPr>
            <w:tcW w:w="1134"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-8,6%</w:t>
            </w:r>
          </w:p>
        </w:tc>
      </w:tr>
      <w:tr w:rsidR="000E1EEE" w:rsidRPr="000E1EEE" w:rsidTr="000E1EEE">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0E1EEE" w:rsidRPr="000E1EEE" w:rsidRDefault="000E1EEE" w:rsidP="000E1EEE">
            <w:pPr>
              <w:jc w:val="center"/>
              <w:rPr>
                <w:color w:val="000000"/>
                <w:sz w:val="22"/>
                <w:szCs w:val="22"/>
              </w:rPr>
            </w:pPr>
            <w:r w:rsidRPr="000E1EEE">
              <w:rPr>
                <w:color w:val="000000"/>
                <w:sz w:val="22"/>
                <w:szCs w:val="22"/>
              </w:rPr>
              <w:t>14</w:t>
            </w:r>
          </w:p>
        </w:tc>
        <w:tc>
          <w:tcPr>
            <w:tcW w:w="4158"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both"/>
              <w:rPr>
                <w:color w:val="000000"/>
                <w:sz w:val="22"/>
                <w:szCs w:val="22"/>
              </w:rPr>
            </w:pPr>
            <w:r w:rsidRPr="000E1EEE">
              <w:rPr>
                <w:color w:val="000000"/>
                <w:sz w:val="22"/>
                <w:szCs w:val="22"/>
              </w:rPr>
              <w:t>Муниципальная программа «Муниципальное имущество и земельные ресурсы»  на 2024-2026 годы</w:t>
            </w:r>
          </w:p>
        </w:tc>
        <w:tc>
          <w:tcPr>
            <w:tcW w:w="1701"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197 133,6</w:t>
            </w:r>
          </w:p>
        </w:tc>
        <w:tc>
          <w:tcPr>
            <w:tcW w:w="1360"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199 017,7</w:t>
            </w:r>
          </w:p>
        </w:tc>
        <w:tc>
          <w:tcPr>
            <w:tcW w:w="1475"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1 884,1</w:t>
            </w:r>
          </w:p>
        </w:tc>
        <w:tc>
          <w:tcPr>
            <w:tcW w:w="1134" w:type="dxa"/>
            <w:tcBorders>
              <w:top w:val="nil"/>
              <w:left w:val="nil"/>
              <w:bottom w:val="single" w:sz="4" w:space="0" w:color="auto"/>
              <w:right w:val="single" w:sz="4" w:space="0" w:color="auto"/>
            </w:tcBorders>
            <w:shd w:val="clear" w:color="auto" w:fill="auto"/>
            <w:vAlign w:val="center"/>
            <w:hideMark/>
          </w:tcPr>
          <w:p w:rsidR="000E1EEE" w:rsidRPr="000E1EEE" w:rsidRDefault="000E1EEE" w:rsidP="000E1EEE">
            <w:pPr>
              <w:jc w:val="center"/>
              <w:rPr>
                <w:color w:val="000000"/>
                <w:sz w:val="22"/>
                <w:szCs w:val="22"/>
              </w:rPr>
            </w:pPr>
            <w:r w:rsidRPr="000E1EEE">
              <w:rPr>
                <w:color w:val="000000"/>
                <w:sz w:val="22"/>
                <w:szCs w:val="22"/>
              </w:rPr>
              <w:t>1,0%</w:t>
            </w:r>
          </w:p>
        </w:tc>
      </w:tr>
    </w:tbl>
    <w:p w:rsidR="000E1EEE" w:rsidRDefault="000E1EEE" w:rsidP="003907D0">
      <w:pPr>
        <w:tabs>
          <w:tab w:val="left" w:pos="284"/>
        </w:tabs>
        <w:suppressAutoHyphens/>
        <w:jc w:val="right"/>
        <w:rPr>
          <w:sz w:val="20"/>
          <w:szCs w:val="20"/>
        </w:rPr>
      </w:pPr>
    </w:p>
    <w:p w:rsidR="00291AC1" w:rsidRDefault="00291AC1" w:rsidP="003907D0">
      <w:pPr>
        <w:tabs>
          <w:tab w:val="left" w:pos="284"/>
        </w:tabs>
        <w:suppressAutoHyphens/>
        <w:jc w:val="right"/>
        <w:rPr>
          <w:sz w:val="20"/>
          <w:szCs w:val="20"/>
        </w:rPr>
      </w:pPr>
    </w:p>
    <w:p w:rsidR="0037137E" w:rsidRPr="000037BF" w:rsidRDefault="000037BF" w:rsidP="000037BF">
      <w:pPr>
        <w:pStyle w:val="1"/>
        <w:numPr>
          <w:ilvl w:val="0"/>
          <w:numId w:val="11"/>
        </w:numPr>
        <w:spacing w:before="0" w:line="283" w:lineRule="auto"/>
        <w:ind w:left="0" w:firstLine="709"/>
        <w:jc w:val="both"/>
        <w:rPr>
          <w:rFonts w:ascii="Times New Roman" w:eastAsia="Calibri" w:hAnsi="Times New Roman" w:cs="Times New Roman"/>
          <w:b/>
          <w:color w:val="auto"/>
          <w:sz w:val="28"/>
          <w:szCs w:val="28"/>
        </w:rPr>
      </w:pPr>
      <w:r w:rsidRPr="000037BF">
        <w:rPr>
          <w:rFonts w:ascii="Times New Roman" w:eastAsia="Calibri" w:hAnsi="Times New Roman" w:cs="Times New Roman"/>
          <w:b/>
          <w:color w:val="auto"/>
          <w:sz w:val="28"/>
          <w:szCs w:val="28"/>
        </w:rPr>
        <w:t>Выводы:</w:t>
      </w:r>
    </w:p>
    <w:p w:rsidR="00167414" w:rsidRDefault="006E060F" w:rsidP="00167414">
      <w:pPr>
        <w:tabs>
          <w:tab w:val="left" w:pos="284"/>
        </w:tabs>
        <w:suppressAutoHyphens/>
        <w:spacing w:line="283" w:lineRule="auto"/>
        <w:ind w:firstLine="709"/>
        <w:jc w:val="both"/>
        <w:rPr>
          <w:sz w:val="28"/>
          <w:szCs w:val="28"/>
          <w:lang w:eastAsia="x-none"/>
        </w:rPr>
      </w:pPr>
      <w:r>
        <w:rPr>
          <w:sz w:val="28"/>
          <w:szCs w:val="28"/>
          <w:lang w:eastAsia="x-none"/>
        </w:rPr>
        <w:t>- с</w:t>
      </w:r>
      <w:r w:rsidR="00167414" w:rsidRPr="00167414">
        <w:rPr>
          <w:sz w:val="28"/>
          <w:szCs w:val="28"/>
          <w:lang w:eastAsia="x-none"/>
        </w:rPr>
        <w:t xml:space="preserve">одержание </w:t>
      </w:r>
      <w:r w:rsidR="00167414">
        <w:rPr>
          <w:sz w:val="28"/>
          <w:szCs w:val="28"/>
          <w:lang w:eastAsia="x-none"/>
        </w:rPr>
        <w:t>проекта решения</w:t>
      </w:r>
      <w:r w:rsidR="00167414" w:rsidRPr="00167414">
        <w:rPr>
          <w:sz w:val="28"/>
          <w:szCs w:val="28"/>
          <w:lang w:eastAsia="x-none"/>
        </w:rPr>
        <w:t xml:space="preserve"> в целом соответствует требованиям</w:t>
      </w:r>
      <w:r w:rsidR="00167414">
        <w:rPr>
          <w:sz w:val="28"/>
          <w:szCs w:val="28"/>
          <w:lang w:eastAsia="x-none"/>
        </w:rPr>
        <w:t xml:space="preserve"> </w:t>
      </w:r>
      <w:r w:rsidR="00167414" w:rsidRPr="00167414">
        <w:rPr>
          <w:sz w:val="28"/>
          <w:szCs w:val="28"/>
          <w:lang w:eastAsia="x-none"/>
        </w:rPr>
        <w:t>бюджетного законо</w:t>
      </w:r>
      <w:r w:rsidR="000037BF">
        <w:rPr>
          <w:sz w:val="28"/>
          <w:szCs w:val="28"/>
          <w:lang w:eastAsia="x-none"/>
        </w:rPr>
        <w:t>дательства Российской Федерации;</w:t>
      </w:r>
    </w:p>
    <w:p w:rsidR="000037BF" w:rsidRDefault="000037BF" w:rsidP="000037BF">
      <w:pPr>
        <w:pStyle w:val="afc"/>
        <w:spacing w:line="283" w:lineRule="auto"/>
        <w:rPr>
          <w:lang w:val="ru-RU"/>
        </w:rPr>
      </w:pPr>
      <w:r>
        <w:rPr>
          <w:lang w:val="ru-RU"/>
        </w:rPr>
        <w:t xml:space="preserve">- предусмотренное проектом решения </w:t>
      </w:r>
      <w:r w:rsidR="00A67E6F">
        <w:rPr>
          <w:lang w:val="ru-RU"/>
        </w:rPr>
        <w:t>изменение объема расходов соответствует изменению объема доходов. Общий объем расходов, предлагаемые к утверждению проектом решения, обеспечен суммарным объемом доходов бюджета округа и поступлений источников финансирования дефицита бюджета. Предлагаемый к утверждению бюджет сбалансирован, что соответствует требованиям статьи 33 Бюджетного кодекса РФ.</w:t>
      </w:r>
    </w:p>
    <w:p w:rsidR="006E060F" w:rsidRDefault="006E060F" w:rsidP="002B0410">
      <w:pPr>
        <w:tabs>
          <w:tab w:val="left" w:pos="284"/>
        </w:tabs>
        <w:suppressAutoHyphens/>
        <w:spacing w:line="283" w:lineRule="auto"/>
        <w:ind w:firstLine="709"/>
        <w:jc w:val="both"/>
        <w:rPr>
          <w:sz w:val="28"/>
          <w:szCs w:val="28"/>
        </w:rPr>
      </w:pPr>
    </w:p>
    <w:p w:rsidR="00272AA2" w:rsidRPr="00696732" w:rsidRDefault="00272AA2" w:rsidP="002B0410">
      <w:pPr>
        <w:tabs>
          <w:tab w:val="left" w:pos="284"/>
        </w:tabs>
        <w:suppressAutoHyphens/>
        <w:spacing w:line="283" w:lineRule="auto"/>
        <w:ind w:firstLine="709"/>
        <w:jc w:val="both"/>
        <w:rPr>
          <w:sz w:val="28"/>
          <w:szCs w:val="28"/>
        </w:rPr>
      </w:pPr>
      <w:r w:rsidRPr="002B0410">
        <w:rPr>
          <w:sz w:val="28"/>
          <w:szCs w:val="28"/>
        </w:rPr>
        <w:t xml:space="preserve">Контрольно-счетная палата предлагает Совету депутатов Печенгского </w:t>
      </w:r>
      <w:r w:rsidR="0068465D">
        <w:rPr>
          <w:sz w:val="28"/>
          <w:szCs w:val="28"/>
        </w:rPr>
        <w:t>муниципального округа</w:t>
      </w:r>
      <w:r w:rsidRPr="002B0410">
        <w:rPr>
          <w:sz w:val="28"/>
          <w:szCs w:val="28"/>
        </w:rPr>
        <w:t xml:space="preserve"> при рассмотрении проекта решения учесть настоящее заключение</w:t>
      </w:r>
      <w:r w:rsidRPr="00696732">
        <w:rPr>
          <w:sz w:val="28"/>
          <w:szCs w:val="28"/>
        </w:rPr>
        <w:t>.</w:t>
      </w:r>
    </w:p>
    <w:p w:rsidR="00BA376C" w:rsidRDefault="00BA376C" w:rsidP="00272AA2">
      <w:pPr>
        <w:autoSpaceDE w:val="0"/>
        <w:autoSpaceDN w:val="0"/>
        <w:adjustRightInd w:val="0"/>
        <w:spacing w:line="283" w:lineRule="auto"/>
        <w:ind w:firstLine="540"/>
        <w:jc w:val="both"/>
        <w:rPr>
          <w:sz w:val="28"/>
          <w:szCs w:val="28"/>
        </w:rPr>
      </w:pPr>
      <w:bookmarkStart w:id="0" w:name="_GoBack"/>
      <w:bookmarkEnd w:id="0"/>
    </w:p>
    <w:sectPr w:rsidR="00BA376C" w:rsidSect="00E51442">
      <w:footerReference w:type="default" r:id="rId9"/>
      <w:pgSz w:w="11906" w:h="16838"/>
      <w:pgMar w:top="426" w:right="850" w:bottom="567" w:left="1701" w:header="708"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205" w:rsidRDefault="00D70205" w:rsidP="00E53E65">
      <w:r>
        <w:separator/>
      </w:r>
    </w:p>
  </w:endnote>
  <w:endnote w:type="continuationSeparator" w:id="0">
    <w:p w:rsidR="00D70205" w:rsidRDefault="00D70205" w:rsidP="00E5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019599"/>
      <w:docPartObj>
        <w:docPartGallery w:val="Page Numbers (Bottom of Page)"/>
        <w:docPartUnique/>
      </w:docPartObj>
    </w:sdtPr>
    <w:sdtEndPr/>
    <w:sdtContent>
      <w:p w:rsidR="00D70205" w:rsidRDefault="00D70205">
        <w:pPr>
          <w:pStyle w:val="aff0"/>
          <w:jc w:val="center"/>
        </w:pPr>
        <w:r w:rsidRPr="003C0188">
          <w:rPr>
            <w:rFonts w:ascii="Times New Roman" w:hAnsi="Times New Roman" w:cs="Times New Roman"/>
            <w:sz w:val="20"/>
            <w:szCs w:val="20"/>
          </w:rPr>
          <w:fldChar w:fldCharType="begin"/>
        </w:r>
        <w:r w:rsidRPr="003C0188">
          <w:rPr>
            <w:rFonts w:ascii="Times New Roman" w:hAnsi="Times New Roman" w:cs="Times New Roman"/>
            <w:sz w:val="20"/>
            <w:szCs w:val="20"/>
          </w:rPr>
          <w:instrText>PAGE   \* MERGEFORMAT</w:instrText>
        </w:r>
        <w:r w:rsidRPr="003C0188">
          <w:rPr>
            <w:rFonts w:ascii="Times New Roman" w:hAnsi="Times New Roman" w:cs="Times New Roman"/>
            <w:sz w:val="20"/>
            <w:szCs w:val="20"/>
          </w:rPr>
          <w:fldChar w:fldCharType="separate"/>
        </w:r>
        <w:r w:rsidR="0094697D">
          <w:rPr>
            <w:rFonts w:ascii="Times New Roman" w:hAnsi="Times New Roman" w:cs="Times New Roman"/>
            <w:noProof/>
            <w:sz w:val="20"/>
            <w:szCs w:val="20"/>
          </w:rPr>
          <w:t>4</w:t>
        </w:r>
        <w:r w:rsidRPr="003C0188">
          <w:rPr>
            <w:rFonts w:ascii="Times New Roman" w:hAnsi="Times New Roman" w:cs="Times New Roman"/>
            <w:sz w:val="20"/>
            <w:szCs w:val="20"/>
          </w:rPr>
          <w:fldChar w:fldCharType="end"/>
        </w:r>
      </w:p>
    </w:sdtContent>
  </w:sdt>
  <w:p w:rsidR="00D70205" w:rsidRDefault="00D70205">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205" w:rsidRDefault="00D70205" w:rsidP="00E53E65">
      <w:r>
        <w:separator/>
      </w:r>
    </w:p>
  </w:footnote>
  <w:footnote w:type="continuationSeparator" w:id="0">
    <w:p w:rsidR="00D70205" w:rsidRDefault="00D70205" w:rsidP="00E53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B50"/>
    <w:multiLevelType w:val="multilevel"/>
    <w:tmpl w:val="EB9EC5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56A6468"/>
    <w:multiLevelType w:val="hybridMultilevel"/>
    <w:tmpl w:val="A774ACA4"/>
    <w:lvl w:ilvl="0" w:tplc="7E5270E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071FA4"/>
    <w:multiLevelType w:val="hybridMultilevel"/>
    <w:tmpl w:val="17F68B00"/>
    <w:lvl w:ilvl="0" w:tplc="A65ED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D5B24"/>
    <w:multiLevelType w:val="hybridMultilevel"/>
    <w:tmpl w:val="E7FA19F0"/>
    <w:lvl w:ilvl="0" w:tplc="7340FDA0">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DB25B7B"/>
    <w:multiLevelType w:val="multilevel"/>
    <w:tmpl w:val="DDC6860E"/>
    <w:lvl w:ilvl="0">
      <w:start w:val="1"/>
      <w:numFmt w:val="decimal"/>
      <w:lvlText w:val="%1."/>
      <w:lvlJc w:val="left"/>
      <w:pPr>
        <w:ind w:left="3440" w:hanging="360"/>
      </w:pPr>
      <w:rPr>
        <w:rFonts w:hint="default"/>
      </w:rPr>
    </w:lvl>
    <w:lvl w:ilvl="1">
      <w:start w:val="1"/>
      <w:numFmt w:val="decimal"/>
      <w:isLgl/>
      <w:lvlText w:val="%1.%2."/>
      <w:lvlJc w:val="left"/>
      <w:pPr>
        <w:ind w:left="3800" w:hanging="720"/>
      </w:pPr>
      <w:rPr>
        <w:rFonts w:hint="default"/>
      </w:rPr>
    </w:lvl>
    <w:lvl w:ilvl="2">
      <w:start w:val="1"/>
      <w:numFmt w:val="decimal"/>
      <w:isLgl/>
      <w:lvlText w:val="%1.%2.%3."/>
      <w:lvlJc w:val="left"/>
      <w:pPr>
        <w:ind w:left="3800" w:hanging="720"/>
      </w:pPr>
      <w:rPr>
        <w:rFonts w:hint="default"/>
      </w:rPr>
    </w:lvl>
    <w:lvl w:ilvl="3">
      <w:start w:val="1"/>
      <w:numFmt w:val="decimal"/>
      <w:isLgl/>
      <w:lvlText w:val="%1.%2.%3.%4."/>
      <w:lvlJc w:val="left"/>
      <w:pPr>
        <w:ind w:left="4160" w:hanging="1080"/>
      </w:pPr>
      <w:rPr>
        <w:rFonts w:hint="default"/>
      </w:rPr>
    </w:lvl>
    <w:lvl w:ilvl="4">
      <w:start w:val="1"/>
      <w:numFmt w:val="decimal"/>
      <w:isLgl/>
      <w:lvlText w:val="%1.%2.%3.%4.%5."/>
      <w:lvlJc w:val="left"/>
      <w:pPr>
        <w:ind w:left="416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4880" w:hanging="1800"/>
      </w:pPr>
      <w:rPr>
        <w:rFonts w:hint="default"/>
      </w:rPr>
    </w:lvl>
    <w:lvl w:ilvl="7">
      <w:start w:val="1"/>
      <w:numFmt w:val="decimal"/>
      <w:isLgl/>
      <w:lvlText w:val="%1.%2.%3.%4.%5.%6.%7.%8."/>
      <w:lvlJc w:val="left"/>
      <w:pPr>
        <w:ind w:left="4880" w:hanging="1800"/>
      </w:pPr>
      <w:rPr>
        <w:rFonts w:hint="default"/>
      </w:rPr>
    </w:lvl>
    <w:lvl w:ilvl="8">
      <w:start w:val="1"/>
      <w:numFmt w:val="decimal"/>
      <w:isLgl/>
      <w:lvlText w:val="%1.%2.%3.%4.%5.%6.%7.%8.%9."/>
      <w:lvlJc w:val="left"/>
      <w:pPr>
        <w:ind w:left="5240" w:hanging="2160"/>
      </w:pPr>
      <w:rPr>
        <w:rFonts w:hint="default"/>
      </w:rPr>
    </w:lvl>
  </w:abstractNum>
  <w:abstractNum w:abstractNumId="5">
    <w:nsid w:val="28C96304"/>
    <w:multiLevelType w:val="hybridMultilevel"/>
    <w:tmpl w:val="631E0954"/>
    <w:lvl w:ilvl="0" w:tplc="0ECA999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AC569E"/>
    <w:multiLevelType w:val="hybridMultilevel"/>
    <w:tmpl w:val="3F44A1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2D02F0"/>
    <w:multiLevelType w:val="hybridMultilevel"/>
    <w:tmpl w:val="D746269C"/>
    <w:lvl w:ilvl="0" w:tplc="C502637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570176F8"/>
    <w:multiLevelType w:val="hybridMultilevel"/>
    <w:tmpl w:val="461613F6"/>
    <w:lvl w:ilvl="0" w:tplc="D4BA6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ED1273"/>
    <w:multiLevelType w:val="hybridMultilevel"/>
    <w:tmpl w:val="1582747C"/>
    <w:lvl w:ilvl="0" w:tplc="37A2AC2C">
      <w:start w:val="1"/>
      <w:numFmt w:val="decimal"/>
      <w:lvlText w:val="%1."/>
      <w:lvlJc w:val="left"/>
      <w:pPr>
        <w:ind w:left="1069"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3C2AC0"/>
    <w:multiLevelType w:val="hybridMultilevel"/>
    <w:tmpl w:val="D290738E"/>
    <w:lvl w:ilvl="0" w:tplc="9DB6EA0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2"/>
  </w:num>
  <w:num w:numId="7">
    <w:abstractNumId w:val="8"/>
  </w:num>
  <w:num w:numId="8">
    <w:abstractNumId w:val="0"/>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87"/>
    <w:rsid w:val="000037BF"/>
    <w:rsid w:val="000051B5"/>
    <w:rsid w:val="0001165D"/>
    <w:rsid w:val="00012CEF"/>
    <w:rsid w:val="00020407"/>
    <w:rsid w:val="00021D7F"/>
    <w:rsid w:val="00021FFB"/>
    <w:rsid w:val="00023F1D"/>
    <w:rsid w:val="00025F47"/>
    <w:rsid w:val="00027407"/>
    <w:rsid w:val="0003293F"/>
    <w:rsid w:val="00036D9E"/>
    <w:rsid w:val="00040B98"/>
    <w:rsid w:val="0004275E"/>
    <w:rsid w:val="0004347F"/>
    <w:rsid w:val="00043566"/>
    <w:rsid w:val="0004485E"/>
    <w:rsid w:val="00045AF2"/>
    <w:rsid w:val="000543DC"/>
    <w:rsid w:val="00055B41"/>
    <w:rsid w:val="000606C2"/>
    <w:rsid w:val="00063A11"/>
    <w:rsid w:val="0006471C"/>
    <w:rsid w:val="00066986"/>
    <w:rsid w:val="0007026F"/>
    <w:rsid w:val="00070786"/>
    <w:rsid w:val="00070FC7"/>
    <w:rsid w:val="00071EFD"/>
    <w:rsid w:val="00076271"/>
    <w:rsid w:val="00081130"/>
    <w:rsid w:val="000816B7"/>
    <w:rsid w:val="00081B7F"/>
    <w:rsid w:val="00081CF5"/>
    <w:rsid w:val="000825A8"/>
    <w:rsid w:val="00082A68"/>
    <w:rsid w:val="00083CA8"/>
    <w:rsid w:val="0008635D"/>
    <w:rsid w:val="00086447"/>
    <w:rsid w:val="000905E2"/>
    <w:rsid w:val="000910D7"/>
    <w:rsid w:val="00093BEA"/>
    <w:rsid w:val="00094139"/>
    <w:rsid w:val="00097F98"/>
    <w:rsid w:val="000A080C"/>
    <w:rsid w:val="000A2387"/>
    <w:rsid w:val="000A3DFA"/>
    <w:rsid w:val="000A494A"/>
    <w:rsid w:val="000A597B"/>
    <w:rsid w:val="000B0F28"/>
    <w:rsid w:val="000B2B4A"/>
    <w:rsid w:val="000B3DA8"/>
    <w:rsid w:val="000B47C1"/>
    <w:rsid w:val="000B6766"/>
    <w:rsid w:val="000B7CBC"/>
    <w:rsid w:val="000C0AFE"/>
    <w:rsid w:val="000C6B9D"/>
    <w:rsid w:val="000D0452"/>
    <w:rsid w:val="000D0A04"/>
    <w:rsid w:val="000D3543"/>
    <w:rsid w:val="000D3C3D"/>
    <w:rsid w:val="000D55B2"/>
    <w:rsid w:val="000E02AD"/>
    <w:rsid w:val="000E1EEE"/>
    <w:rsid w:val="000F0264"/>
    <w:rsid w:val="000F3AA7"/>
    <w:rsid w:val="000F4118"/>
    <w:rsid w:val="000F51C4"/>
    <w:rsid w:val="000F5298"/>
    <w:rsid w:val="000F5B3B"/>
    <w:rsid w:val="000F7A8A"/>
    <w:rsid w:val="00100F3C"/>
    <w:rsid w:val="00103D99"/>
    <w:rsid w:val="0011371F"/>
    <w:rsid w:val="00114A41"/>
    <w:rsid w:val="00115521"/>
    <w:rsid w:val="00116C4B"/>
    <w:rsid w:val="00121C4D"/>
    <w:rsid w:val="00123938"/>
    <w:rsid w:val="0012562F"/>
    <w:rsid w:val="00125774"/>
    <w:rsid w:val="00127161"/>
    <w:rsid w:val="00127A31"/>
    <w:rsid w:val="001303F8"/>
    <w:rsid w:val="00137308"/>
    <w:rsid w:val="00142FAF"/>
    <w:rsid w:val="001432C8"/>
    <w:rsid w:val="00157AAD"/>
    <w:rsid w:val="001601C5"/>
    <w:rsid w:val="0016505D"/>
    <w:rsid w:val="001668ED"/>
    <w:rsid w:val="00167414"/>
    <w:rsid w:val="001674BB"/>
    <w:rsid w:val="00174902"/>
    <w:rsid w:val="00174BC2"/>
    <w:rsid w:val="00174C68"/>
    <w:rsid w:val="001762EB"/>
    <w:rsid w:val="001830DF"/>
    <w:rsid w:val="00187E7C"/>
    <w:rsid w:val="0019542A"/>
    <w:rsid w:val="001A4106"/>
    <w:rsid w:val="001A4C67"/>
    <w:rsid w:val="001B4F4D"/>
    <w:rsid w:val="001B62E5"/>
    <w:rsid w:val="001B7B75"/>
    <w:rsid w:val="001C169C"/>
    <w:rsid w:val="001C17B1"/>
    <w:rsid w:val="001C549B"/>
    <w:rsid w:val="001D319B"/>
    <w:rsid w:val="001D6002"/>
    <w:rsid w:val="001D7191"/>
    <w:rsid w:val="001D7C9F"/>
    <w:rsid w:val="001E097B"/>
    <w:rsid w:val="001E20CD"/>
    <w:rsid w:val="001E3620"/>
    <w:rsid w:val="001E6EF4"/>
    <w:rsid w:val="001F2F95"/>
    <w:rsid w:val="001F3A94"/>
    <w:rsid w:val="001F41CF"/>
    <w:rsid w:val="0020225E"/>
    <w:rsid w:val="002117A4"/>
    <w:rsid w:val="00216D8F"/>
    <w:rsid w:val="002212F2"/>
    <w:rsid w:val="00223020"/>
    <w:rsid w:val="00225BA1"/>
    <w:rsid w:val="002343E9"/>
    <w:rsid w:val="002347CE"/>
    <w:rsid w:val="00242071"/>
    <w:rsid w:val="002432D7"/>
    <w:rsid w:val="00247B87"/>
    <w:rsid w:val="00251B1A"/>
    <w:rsid w:val="00252AF4"/>
    <w:rsid w:val="00254DFC"/>
    <w:rsid w:val="00255F8C"/>
    <w:rsid w:val="00256121"/>
    <w:rsid w:val="00256224"/>
    <w:rsid w:val="00264206"/>
    <w:rsid w:val="002649C3"/>
    <w:rsid w:val="002657F9"/>
    <w:rsid w:val="00271A8B"/>
    <w:rsid w:val="00272AA2"/>
    <w:rsid w:val="00272C43"/>
    <w:rsid w:val="00273AA5"/>
    <w:rsid w:val="002760B9"/>
    <w:rsid w:val="0027655C"/>
    <w:rsid w:val="002835A8"/>
    <w:rsid w:val="00286381"/>
    <w:rsid w:val="00287C89"/>
    <w:rsid w:val="00290A9E"/>
    <w:rsid w:val="00291AC1"/>
    <w:rsid w:val="002A02B5"/>
    <w:rsid w:val="002A1851"/>
    <w:rsid w:val="002A2360"/>
    <w:rsid w:val="002A3B9C"/>
    <w:rsid w:val="002A45CE"/>
    <w:rsid w:val="002A5626"/>
    <w:rsid w:val="002A5AD3"/>
    <w:rsid w:val="002B0410"/>
    <w:rsid w:val="002B17B9"/>
    <w:rsid w:val="002B1E1A"/>
    <w:rsid w:val="002B3EB6"/>
    <w:rsid w:val="002B6E27"/>
    <w:rsid w:val="002C1CF4"/>
    <w:rsid w:val="002C2551"/>
    <w:rsid w:val="002C36AD"/>
    <w:rsid w:val="002C4BCF"/>
    <w:rsid w:val="002C63BE"/>
    <w:rsid w:val="002D229E"/>
    <w:rsid w:val="002D55E6"/>
    <w:rsid w:val="002E07C6"/>
    <w:rsid w:val="002E1AC0"/>
    <w:rsid w:val="002E5284"/>
    <w:rsid w:val="002E53F8"/>
    <w:rsid w:val="002E782F"/>
    <w:rsid w:val="002F5699"/>
    <w:rsid w:val="002F65FB"/>
    <w:rsid w:val="002F68F6"/>
    <w:rsid w:val="002F6FA4"/>
    <w:rsid w:val="0030233C"/>
    <w:rsid w:val="00303A1C"/>
    <w:rsid w:val="00305770"/>
    <w:rsid w:val="0031143C"/>
    <w:rsid w:val="00315023"/>
    <w:rsid w:val="00315CB2"/>
    <w:rsid w:val="003175C6"/>
    <w:rsid w:val="00317C99"/>
    <w:rsid w:val="00321EC9"/>
    <w:rsid w:val="0032549F"/>
    <w:rsid w:val="003255E4"/>
    <w:rsid w:val="00327265"/>
    <w:rsid w:val="00327488"/>
    <w:rsid w:val="00331E94"/>
    <w:rsid w:val="00334136"/>
    <w:rsid w:val="00336482"/>
    <w:rsid w:val="003369D1"/>
    <w:rsid w:val="00346C3A"/>
    <w:rsid w:val="00351019"/>
    <w:rsid w:val="00351A8F"/>
    <w:rsid w:val="003537DE"/>
    <w:rsid w:val="00357CEF"/>
    <w:rsid w:val="00361DAC"/>
    <w:rsid w:val="003634D2"/>
    <w:rsid w:val="0036489C"/>
    <w:rsid w:val="0037137E"/>
    <w:rsid w:val="00371BFC"/>
    <w:rsid w:val="003733A5"/>
    <w:rsid w:val="00373D66"/>
    <w:rsid w:val="00374ACE"/>
    <w:rsid w:val="00377694"/>
    <w:rsid w:val="00381080"/>
    <w:rsid w:val="00382BF4"/>
    <w:rsid w:val="0038494F"/>
    <w:rsid w:val="003851B4"/>
    <w:rsid w:val="00386825"/>
    <w:rsid w:val="003907D0"/>
    <w:rsid w:val="003945A3"/>
    <w:rsid w:val="003962D0"/>
    <w:rsid w:val="003A0D48"/>
    <w:rsid w:val="003A3C4A"/>
    <w:rsid w:val="003A435E"/>
    <w:rsid w:val="003A7DCA"/>
    <w:rsid w:val="003C0188"/>
    <w:rsid w:val="003C0604"/>
    <w:rsid w:val="003C17E7"/>
    <w:rsid w:val="003C3C23"/>
    <w:rsid w:val="003C3F4A"/>
    <w:rsid w:val="003C5E37"/>
    <w:rsid w:val="003D1F4C"/>
    <w:rsid w:val="003D417F"/>
    <w:rsid w:val="003D613A"/>
    <w:rsid w:val="003E023C"/>
    <w:rsid w:val="003E351A"/>
    <w:rsid w:val="003E3D46"/>
    <w:rsid w:val="003E45F0"/>
    <w:rsid w:val="003E5238"/>
    <w:rsid w:val="003E679D"/>
    <w:rsid w:val="003F18A3"/>
    <w:rsid w:val="003F2BBC"/>
    <w:rsid w:val="003F71AC"/>
    <w:rsid w:val="004012FE"/>
    <w:rsid w:val="00413A23"/>
    <w:rsid w:val="00417C20"/>
    <w:rsid w:val="004204DC"/>
    <w:rsid w:val="00421A9B"/>
    <w:rsid w:val="00421ADD"/>
    <w:rsid w:val="0042373B"/>
    <w:rsid w:val="00423B36"/>
    <w:rsid w:val="0042656B"/>
    <w:rsid w:val="004268BB"/>
    <w:rsid w:val="00426D52"/>
    <w:rsid w:val="00427F8B"/>
    <w:rsid w:val="00430813"/>
    <w:rsid w:val="00434EF2"/>
    <w:rsid w:val="00437C27"/>
    <w:rsid w:val="00440CE2"/>
    <w:rsid w:val="0044491D"/>
    <w:rsid w:val="00444C58"/>
    <w:rsid w:val="00446055"/>
    <w:rsid w:val="00447EEA"/>
    <w:rsid w:val="0045496F"/>
    <w:rsid w:val="00456EA0"/>
    <w:rsid w:val="0046154E"/>
    <w:rsid w:val="00462F4F"/>
    <w:rsid w:val="00463473"/>
    <w:rsid w:val="00465037"/>
    <w:rsid w:val="00465E77"/>
    <w:rsid w:val="00466A38"/>
    <w:rsid w:val="00473416"/>
    <w:rsid w:val="0047738C"/>
    <w:rsid w:val="00481B17"/>
    <w:rsid w:val="00483415"/>
    <w:rsid w:val="00484745"/>
    <w:rsid w:val="00484A7F"/>
    <w:rsid w:val="004936CC"/>
    <w:rsid w:val="00493D9E"/>
    <w:rsid w:val="004A0948"/>
    <w:rsid w:val="004A11C6"/>
    <w:rsid w:val="004A1D01"/>
    <w:rsid w:val="004A3400"/>
    <w:rsid w:val="004A6435"/>
    <w:rsid w:val="004B24B1"/>
    <w:rsid w:val="004B4250"/>
    <w:rsid w:val="004B49F6"/>
    <w:rsid w:val="004C7FB5"/>
    <w:rsid w:val="004D0D2F"/>
    <w:rsid w:val="004D1637"/>
    <w:rsid w:val="004D325F"/>
    <w:rsid w:val="004D3B63"/>
    <w:rsid w:val="004D6DCC"/>
    <w:rsid w:val="004E1A17"/>
    <w:rsid w:val="004E3F16"/>
    <w:rsid w:val="004E556E"/>
    <w:rsid w:val="004E5F34"/>
    <w:rsid w:val="004E61DC"/>
    <w:rsid w:val="004F428C"/>
    <w:rsid w:val="004F53BF"/>
    <w:rsid w:val="004F6484"/>
    <w:rsid w:val="004F743F"/>
    <w:rsid w:val="00501FEF"/>
    <w:rsid w:val="00506A2C"/>
    <w:rsid w:val="00511E6F"/>
    <w:rsid w:val="0051201A"/>
    <w:rsid w:val="00517144"/>
    <w:rsid w:val="005203BA"/>
    <w:rsid w:val="005208E1"/>
    <w:rsid w:val="0052231A"/>
    <w:rsid w:val="0052516B"/>
    <w:rsid w:val="00532080"/>
    <w:rsid w:val="005344FC"/>
    <w:rsid w:val="005348AA"/>
    <w:rsid w:val="00542A67"/>
    <w:rsid w:val="00546D39"/>
    <w:rsid w:val="0054779A"/>
    <w:rsid w:val="0054780C"/>
    <w:rsid w:val="00551A87"/>
    <w:rsid w:val="00554347"/>
    <w:rsid w:val="00555A77"/>
    <w:rsid w:val="00556DDF"/>
    <w:rsid w:val="0055729B"/>
    <w:rsid w:val="0055764D"/>
    <w:rsid w:val="00565696"/>
    <w:rsid w:val="00567D22"/>
    <w:rsid w:val="005700A3"/>
    <w:rsid w:val="0057059B"/>
    <w:rsid w:val="00570E0D"/>
    <w:rsid w:val="00572E8D"/>
    <w:rsid w:val="00575D7C"/>
    <w:rsid w:val="0058007C"/>
    <w:rsid w:val="00581156"/>
    <w:rsid w:val="00581375"/>
    <w:rsid w:val="00583B6A"/>
    <w:rsid w:val="00585043"/>
    <w:rsid w:val="005859E7"/>
    <w:rsid w:val="0058624D"/>
    <w:rsid w:val="00586729"/>
    <w:rsid w:val="00590384"/>
    <w:rsid w:val="0059311C"/>
    <w:rsid w:val="00596AE8"/>
    <w:rsid w:val="005972FB"/>
    <w:rsid w:val="005A0AE6"/>
    <w:rsid w:val="005A671B"/>
    <w:rsid w:val="005A7B6E"/>
    <w:rsid w:val="005B36E6"/>
    <w:rsid w:val="005C08BF"/>
    <w:rsid w:val="005C113B"/>
    <w:rsid w:val="005C2605"/>
    <w:rsid w:val="005C5290"/>
    <w:rsid w:val="005C7ADC"/>
    <w:rsid w:val="005D15A6"/>
    <w:rsid w:val="005D2590"/>
    <w:rsid w:val="005E2F7B"/>
    <w:rsid w:val="005F2871"/>
    <w:rsid w:val="005F445D"/>
    <w:rsid w:val="005F4B28"/>
    <w:rsid w:val="00600B9F"/>
    <w:rsid w:val="00605DE9"/>
    <w:rsid w:val="00606905"/>
    <w:rsid w:val="0061383A"/>
    <w:rsid w:val="006154DF"/>
    <w:rsid w:val="00620B42"/>
    <w:rsid w:val="0062327C"/>
    <w:rsid w:val="00625C43"/>
    <w:rsid w:val="00626D12"/>
    <w:rsid w:val="00630967"/>
    <w:rsid w:val="00632E70"/>
    <w:rsid w:val="006332BA"/>
    <w:rsid w:val="00633E48"/>
    <w:rsid w:val="00635555"/>
    <w:rsid w:val="006406A2"/>
    <w:rsid w:val="0065136D"/>
    <w:rsid w:val="00651CF2"/>
    <w:rsid w:val="00656B89"/>
    <w:rsid w:val="006621DF"/>
    <w:rsid w:val="0067361B"/>
    <w:rsid w:val="0067366B"/>
    <w:rsid w:val="006753D9"/>
    <w:rsid w:val="0067559E"/>
    <w:rsid w:val="0067736F"/>
    <w:rsid w:val="0068465D"/>
    <w:rsid w:val="00684D48"/>
    <w:rsid w:val="00687990"/>
    <w:rsid w:val="00691B81"/>
    <w:rsid w:val="00691E37"/>
    <w:rsid w:val="00696732"/>
    <w:rsid w:val="00697081"/>
    <w:rsid w:val="006A23DD"/>
    <w:rsid w:val="006A48C9"/>
    <w:rsid w:val="006A508B"/>
    <w:rsid w:val="006A75F6"/>
    <w:rsid w:val="006B4C04"/>
    <w:rsid w:val="006C55C8"/>
    <w:rsid w:val="006C7824"/>
    <w:rsid w:val="006D6E2E"/>
    <w:rsid w:val="006E060F"/>
    <w:rsid w:val="006E2308"/>
    <w:rsid w:val="006E2BBD"/>
    <w:rsid w:val="006E42DF"/>
    <w:rsid w:val="006E5866"/>
    <w:rsid w:val="006F001D"/>
    <w:rsid w:val="006F2575"/>
    <w:rsid w:val="006F27A5"/>
    <w:rsid w:val="006F2929"/>
    <w:rsid w:val="006F7966"/>
    <w:rsid w:val="006F7EB0"/>
    <w:rsid w:val="00700003"/>
    <w:rsid w:val="00704FD6"/>
    <w:rsid w:val="007074A5"/>
    <w:rsid w:val="00716E23"/>
    <w:rsid w:val="00720B2F"/>
    <w:rsid w:val="00722CE4"/>
    <w:rsid w:val="00723E0C"/>
    <w:rsid w:val="007242A9"/>
    <w:rsid w:val="0072638E"/>
    <w:rsid w:val="00726A72"/>
    <w:rsid w:val="00727FE1"/>
    <w:rsid w:val="00733417"/>
    <w:rsid w:val="00734700"/>
    <w:rsid w:val="0074298A"/>
    <w:rsid w:val="007439D7"/>
    <w:rsid w:val="007577A8"/>
    <w:rsid w:val="00762467"/>
    <w:rsid w:val="007678CE"/>
    <w:rsid w:val="007728D5"/>
    <w:rsid w:val="007741C2"/>
    <w:rsid w:val="00774E80"/>
    <w:rsid w:val="007803D8"/>
    <w:rsid w:val="007803FD"/>
    <w:rsid w:val="00780869"/>
    <w:rsid w:val="00782B07"/>
    <w:rsid w:val="007845EE"/>
    <w:rsid w:val="00787357"/>
    <w:rsid w:val="00792B6C"/>
    <w:rsid w:val="007935A6"/>
    <w:rsid w:val="007A3D8B"/>
    <w:rsid w:val="007B225F"/>
    <w:rsid w:val="007B7833"/>
    <w:rsid w:val="007D2A1D"/>
    <w:rsid w:val="007D6338"/>
    <w:rsid w:val="007D6E77"/>
    <w:rsid w:val="007E0D3C"/>
    <w:rsid w:val="007E0E97"/>
    <w:rsid w:val="007E49B4"/>
    <w:rsid w:val="007F0ACB"/>
    <w:rsid w:val="007F27A8"/>
    <w:rsid w:val="007F3E1B"/>
    <w:rsid w:val="007F60EC"/>
    <w:rsid w:val="007F7817"/>
    <w:rsid w:val="007F7E4A"/>
    <w:rsid w:val="00800FC0"/>
    <w:rsid w:val="008011FD"/>
    <w:rsid w:val="008012A7"/>
    <w:rsid w:val="008101D2"/>
    <w:rsid w:val="00811B74"/>
    <w:rsid w:val="008128D8"/>
    <w:rsid w:val="00823064"/>
    <w:rsid w:val="008248FD"/>
    <w:rsid w:val="00826DAE"/>
    <w:rsid w:val="00830670"/>
    <w:rsid w:val="00834B38"/>
    <w:rsid w:val="00841838"/>
    <w:rsid w:val="00841839"/>
    <w:rsid w:val="00845341"/>
    <w:rsid w:val="008501B7"/>
    <w:rsid w:val="00860DA7"/>
    <w:rsid w:val="0086553F"/>
    <w:rsid w:val="00865907"/>
    <w:rsid w:val="00865E37"/>
    <w:rsid w:val="00870FB1"/>
    <w:rsid w:val="00876584"/>
    <w:rsid w:val="00876CF0"/>
    <w:rsid w:val="0088033E"/>
    <w:rsid w:val="00882E19"/>
    <w:rsid w:val="0088313A"/>
    <w:rsid w:val="00885E1A"/>
    <w:rsid w:val="00885EAA"/>
    <w:rsid w:val="00892D10"/>
    <w:rsid w:val="00894B73"/>
    <w:rsid w:val="008A32BE"/>
    <w:rsid w:val="008A41E2"/>
    <w:rsid w:val="008A45C3"/>
    <w:rsid w:val="008A627D"/>
    <w:rsid w:val="008C1B4D"/>
    <w:rsid w:val="008C274D"/>
    <w:rsid w:val="008C2760"/>
    <w:rsid w:val="008C7609"/>
    <w:rsid w:val="008D0B82"/>
    <w:rsid w:val="008D43B7"/>
    <w:rsid w:val="008D5E0F"/>
    <w:rsid w:val="008E092E"/>
    <w:rsid w:val="008E320F"/>
    <w:rsid w:val="008E32E5"/>
    <w:rsid w:val="008E65C5"/>
    <w:rsid w:val="008F5C8E"/>
    <w:rsid w:val="009000A3"/>
    <w:rsid w:val="00900A09"/>
    <w:rsid w:val="00903FF0"/>
    <w:rsid w:val="009055A9"/>
    <w:rsid w:val="00905E62"/>
    <w:rsid w:val="00907EFD"/>
    <w:rsid w:val="009125B9"/>
    <w:rsid w:val="00916FEF"/>
    <w:rsid w:val="00920B93"/>
    <w:rsid w:val="009215D2"/>
    <w:rsid w:val="00921F2A"/>
    <w:rsid w:val="00922F4D"/>
    <w:rsid w:val="0092444C"/>
    <w:rsid w:val="0093198E"/>
    <w:rsid w:val="00933BEF"/>
    <w:rsid w:val="00942F04"/>
    <w:rsid w:val="00943BC7"/>
    <w:rsid w:val="0094697D"/>
    <w:rsid w:val="00947CC5"/>
    <w:rsid w:val="00952BE4"/>
    <w:rsid w:val="00954109"/>
    <w:rsid w:val="00957D0B"/>
    <w:rsid w:val="00960511"/>
    <w:rsid w:val="00962F4B"/>
    <w:rsid w:val="00971DF7"/>
    <w:rsid w:val="0097330E"/>
    <w:rsid w:val="00974799"/>
    <w:rsid w:val="0098049C"/>
    <w:rsid w:val="00981E37"/>
    <w:rsid w:val="00982421"/>
    <w:rsid w:val="009911FA"/>
    <w:rsid w:val="00992051"/>
    <w:rsid w:val="00997A24"/>
    <w:rsid w:val="009A5700"/>
    <w:rsid w:val="009B0146"/>
    <w:rsid w:val="009B02B6"/>
    <w:rsid w:val="009B09CA"/>
    <w:rsid w:val="009B219E"/>
    <w:rsid w:val="009D32BC"/>
    <w:rsid w:val="009D5CB1"/>
    <w:rsid w:val="009D7867"/>
    <w:rsid w:val="009D7F2F"/>
    <w:rsid w:val="009E4449"/>
    <w:rsid w:val="009E55EC"/>
    <w:rsid w:val="009E6896"/>
    <w:rsid w:val="009F369E"/>
    <w:rsid w:val="009F684F"/>
    <w:rsid w:val="009F74C9"/>
    <w:rsid w:val="00A01340"/>
    <w:rsid w:val="00A0366E"/>
    <w:rsid w:val="00A13FB9"/>
    <w:rsid w:val="00A16305"/>
    <w:rsid w:val="00A22345"/>
    <w:rsid w:val="00A236D2"/>
    <w:rsid w:val="00A24255"/>
    <w:rsid w:val="00A257A6"/>
    <w:rsid w:val="00A25BC6"/>
    <w:rsid w:val="00A35B15"/>
    <w:rsid w:val="00A36EEF"/>
    <w:rsid w:val="00A37F6E"/>
    <w:rsid w:val="00A41D4C"/>
    <w:rsid w:val="00A47C00"/>
    <w:rsid w:val="00A52638"/>
    <w:rsid w:val="00A6039F"/>
    <w:rsid w:val="00A6099E"/>
    <w:rsid w:val="00A61AC8"/>
    <w:rsid w:val="00A62FB6"/>
    <w:rsid w:val="00A660FA"/>
    <w:rsid w:val="00A662E0"/>
    <w:rsid w:val="00A67E6F"/>
    <w:rsid w:val="00A70913"/>
    <w:rsid w:val="00A73CA5"/>
    <w:rsid w:val="00A77844"/>
    <w:rsid w:val="00A77AC3"/>
    <w:rsid w:val="00A804F9"/>
    <w:rsid w:val="00A82EC5"/>
    <w:rsid w:val="00A8565E"/>
    <w:rsid w:val="00A8572D"/>
    <w:rsid w:val="00A95957"/>
    <w:rsid w:val="00A9660F"/>
    <w:rsid w:val="00A969E6"/>
    <w:rsid w:val="00A96E8F"/>
    <w:rsid w:val="00AA5233"/>
    <w:rsid w:val="00AA523E"/>
    <w:rsid w:val="00AA7BAD"/>
    <w:rsid w:val="00AB0CFE"/>
    <w:rsid w:val="00AB327E"/>
    <w:rsid w:val="00AB57EC"/>
    <w:rsid w:val="00AB6831"/>
    <w:rsid w:val="00AC0587"/>
    <w:rsid w:val="00AC4119"/>
    <w:rsid w:val="00AC4E4D"/>
    <w:rsid w:val="00AC5FE1"/>
    <w:rsid w:val="00AC7F6F"/>
    <w:rsid w:val="00AD1589"/>
    <w:rsid w:val="00AD390C"/>
    <w:rsid w:val="00AE0BA6"/>
    <w:rsid w:val="00AE175B"/>
    <w:rsid w:val="00AE31EF"/>
    <w:rsid w:val="00AE3FA9"/>
    <w:rsid w:val="00AE4394"/>
    <w:rsid w:val="00AF2FF3"/>
    <w:rsid w:val="00AF439E"/>
    <w:rsid w:val="00AF6B54"/>
    <w:rsid w:val="00AF7031"/>
    <w:rsid w:val="00AF7273"/>
    <w:rsid w:val="00AF7EFB"/>
    <w:rsid w:val="00B00BDA"/>
    <w:rsid w:val="00B044E5"/>
    <w:rsid w:val="00B04979"/>
    <w:rsid w:val="00B05E42"/>
    <w:rsid w:val="00B07876"/>
    <w:rsid w:val="00B1080A"/>
    <w:rsid w:val="00B12633"/>
    <w:rsid w:val="00B13EAC"/>
    <w:rsid w:val="00B15072"/>
    <w:rsid w:val="00B17959"/>
    <w:rsid w:val="00B21D15"/>
    <w:rsid w:val="00B26A4F"/>
    <w:rsid w:val="00B30272"/>
    <w:rsid w:val="00B32DA6"/>
    <w:rsid w:val="00B47695"/>
    <w:rsid w:val="00B56C57"/>
    <w:rsid w:val="00B56C63"/>
    <w:rsid w:val="00B56E26"/>
    <w:rsid w:val="00B603A4"/>
    <w:rsid w:val="00B64180"/>
    <w:rsid w:val="00B6776D"/>
    <w:rsid w:val="00B76356"/>
    <w:rsid w:val="00B77FCD"/>
    <w:rsid w:val="00B858AB"/>
    <w:rsid w:val="00B97553"/>
    <w:rsid w:val="00B977EF"/>
    <w:rsid w:val="00BA137E"/>
    <w:rsid w:val="00BA376C"/>
    <w:rsid w:val="00BC237F"/>
    <w:rsid w:val="00BD2300"/>
    <w:rsid w:val="00BD380A"/>
    <w:rsid w:val="00BD48B2"/>
    <w:rsid w:val="00BD61B7"/>
    <w:rsid w:val="00BD700E"/>
    <w:rsid w:val="00BE2211"/>
    <w:rsid w:val="00BE238C"/>
    <w:rsid w:val="00BE562A"/>
    <w:rsid w:val="00BE5EAA"/>
    <w:rsid w:val="00BF1308"/>
    <w:rsid w:val="00BF7C59"/>
    <w:rsid w:val="00C013E8"/>
    <w:rsid w:val="00C03DBD"/>
    <w:rsid w:val="00C0650B"/>
    <w:rsid w:val="00C13572"/>
    <w:rsid w:val="00C13816"/>
    <w:rsid w:val="00C21D18"/>
    <w:rsid w:val="00C22D9D"/>
    <w:rsid w:val="00C30AF1"/>
    <w:rsid w:val="00C33900"/>
    <w:rsid w:val="00C35A8C"/>
    <w:rsid w:val="00C36477"/>
    <w:rsid w:val="00C37A11"/>
    <w:rsid w:val="00C40331"/>
    <w:rsid w:val="00C420F3"/>
    <w:rsid w:val="00C42D49"/>
    <w:rsid w:val="00C45EC5"/>
    <w:rsid w:val="00C5015F"/>
    <w:rsid w:val="00C517C5"/>
    <w:rsid w:val="00C55B83"/>
    <w:rsid w:val="00C57A20"/>
    <w:rsid w:val="00C62BC8"/>
    <w:rsid w:val="00C62FC4"/>
    <w:rsid w:val="00C665FD"/>
    <w:rsid w:val="00C66656"/>
    <w:rsid w:val="00C66848"/>
    <w:rsid w:val="00C6767E"/>
    <w:rsid w:val="00C8005C"/>
    <w:rsid w:val="00C8171A"/>
    <w:rsid w:val="00C8296D"/>
    <w:rsid w:val="00C8301A"/>
    <w:rsid w:val="00C84625"/>
    <w:rsid w:val="00C8538C"/>
    <w:rsid w:val="00C855F6"/>
    <w:rsid w:val="00C859A2"/>
    <w:rsid w:val="00C86DBB"/>
    <w:rsid w:val="00C91EC9"/>
    <w:rsid w:val="00C92ECB"/>
    <w:rsid w:val="00C95B85"/>
    <w:rsid w:val="00C9704E"/>
    <w:rsid w:val="00C97B45"/>
    <w:rsid w:val="00CA381A"/>
    <w:rsid w:val="00CB0EB8"/>
    <w:rsid w:val="00CB6909"/>
    <w:rsid w:val="00CC0516"/>
    <w:rsid w:val="00CC07AC"/>
    <w:rsid w:val="00CC62B2"/>
    <w:rsid w:val="00CD09F3"/>
    <w:rsid w:val="00CE76D8"/>
    <w:rsid w:val="00CF10BE"/>
    <w:rsid w:val="00CF1AD8"/>
    <w:rsid w:val="00CF416A"/>
    <w:rsid w:val="00CF649F"/>
    <w:rsid w:val="00D00E51"/>
    <w:rsid w:val="00D02E33"/>
    <w:rsid w:val="00D0336F"/>
    <w:rsid w:val="00D06166"/>
    <w:rsid w:val="00D13068"/>
    <w:rsid w:val="00D141E6"/>
    <w:rsid w:val="00D21DFB"/>
    <w:rsid w:val="00D25420"/>
    <w:rsid w:val="00D32356"/>
    <w:rsid w:val="00D33612"/>
    <w:rsid w:val="00D40867"/>
    <w:rsid w:val="00D4090E"/>
    <w:rsid w:val="00D43122"/>
    <w:rsid w:val="00D46661"/>
    <w:rsid w:val="00D47609"/>
    <w:rsid w:val="00D502F3"/>
    <w:rsid w:val="00D53F10"/>
    <w:rsid w:val="00D54960"/>
    <w:rsid w:val="00D5497F"/>
    <w:rsid w:val="00D567CB"/>
    <w:rsid w:val="00D607D3"/>
    <w:rsid w:val="00D6212A"/>
    <w:rsid w:val="00D6665B"/>
    <w:rsid w:val="00D66ADC"/>
    <w:rsid w:val="00D671D6"/>
    <w:rsid w:val="00D67E7E"/>
    <w:rsid w:val="00D67F11"/>
    <w:rsid w:val="00D70205"/>
    <w:rsid w:val="00D71100"/>
    <w:rsid w:val="00D71774"/>
    <w:rsid w:val="00D857C0"/>
    <w:rsid w:val="00D86427"/>
    <w:rsid w:val="00D91208"/>
    <w:rsid w:val="00D92063"/>
    <w:rsid w:val="00D9756D"/>
    <w:rsid w:val="00DA5227"/>
    <w:rsid w:val="00DB06C3"/>
    <w:rsid w:val="00DB198E"/>
    <w:rsid w:val="00DB2977"/>
    <w:rsid w:val="00DB5558"/>
    <w:rsid w:val="00DD084C"/>
    <w:rsid w:val="00DD16D2"/>
    <w:rsid w:val="00DD3D27"/>
    <w:rsid w:val="00DE195D"/>
    <w:rsid w:val="00DE41A1"/>
    <w:rsid w:val="00DF3CD9"/>
    <w:rsid w:val="00DF5D92"/>
    <w:rsid w:val="00E00A1B"/>
    <w:rsid w:val="00E04320"/>
    <w:rsid w:val="00E04F89"/>
    <w:rsid w:val="00E05778"/>
    <w:rsid w:val="00E07879"/>
    <w:rsid w:val="00E07F0F"/>
    <w:rsid w:val="00E102DB"/>
    <w:rsid w:val="00E13301"/>
    <w:rsid w:val="00E16C97"/>
    <w:rsid w:val="00E20E2F"/>
    <w:rsid w:val="00E22468"/>
    <w:rsid w:val="00E2626A"/>
    <w:rsid w:val="00E316AF"/>
    <w:rsid w:val="00E3336D"/>
    <w:rsid w:val="00E33869"/>
    <w:rsid w:val="00E45954"/>
    <w:rsid w:val="00E45B71"/>
    <w:rsid w:val="00E45C45"/>
    <w:rsid w:val="00E50A7A"/>
    <w:rsid w:val="00E50E2F"/>
    <w:rsid w:val="00E51442"/>
    <w:rsid w:val="00E53E65"/>
    <w:rsid w:val="00E63C51"/>
    <w:rsid w:val="00E64446"/>
    <w:rsid w:val="00E66FD8"/>
    <w:rsid w:val="00E73B70"/>
    <w:rsid w:val="00E747F0"/>
    <w:rsid w:val="00E74B00"/>
    <w:rsid w:val="00E75623"/>
    <w:rsid w:val="00E75633"/>
    <w:rsid w:val="00E80101"/>
    <w:rsid w:val="00E8129B"/>
    <w:rsid w:val="00E819E9"/>
    <w:rsid w:val="00E8342A"/>
    <w:rsid w:val="00E879E1"/>
    <w:rsid w:val="00EA034C"/>
    <w:rsid w:val="00EA0433"/>
    <w:rsid w:val="00EA63B5"/>
    <w:rsid w:val="00EB2287"/>
    <w:rsid w:val="00EB409A"/>
    <w:rsid w:val="00EC0F13"/>
    <w:rsid w:val="00EC334F"/>
    <w:rsid w:val="00EC3CB7"/>
    <w:rsid w:val="00EC658C"/>
    <w:rsid w:val="00ED238B"/>
    <w:rsid w:val="00ED3EAD"/>
    <w:rsid w:val="00EE1D53"/>
    <w:rsid w:val="00EE3DB1"/>
    <w:rsid w:val="00EE50DA"/>
    <w:rsid w:val="00EE54EE"/>
    <w:rsid w:val="00EE72BA"/>
    <w:rsid w:val="00EF14A5"/>
    <w:rsid w:val="00EF3993"/>
    <w:rsid w:val="00EF4721"/>
    <w:rsid w:val="00EF4D37"/>
    <w:rsid w:val="00EF552F"/>
    <w:rsid w:val="00F06C7F"/>
    <w:rsid w:val="00F10C08"/>
    <w:rsid w:val="00F142C0"/>
    <w:rsid w:val="00F2105F"/>
    <w:rsid w:val="00F2280D"/>
    <w:rsid w:val="00F316D5"/>
    <w:rsid w:val="00F33CD1"/>
    <w:rsid w:val="00F34AF7"/>
    <w:rsid w:val="00F36CF4"/>
    <w:rsid w:val="00F410A9"/>
    <w:rsid w:val="00F413FB"/>
    <w:rsid w:val="00F4333A"/>
    <w:rsid w:val="00F438F3"/>
    <w:rsid w:val="00F43F85"/>
    <w:rsid w:val="00F44F87"/>
    <w:rsid w:val="00F4527B"/>
    <w:rsid w:val="00F51606"/>
    <w:rsid w:val="00F53B10"/>
    <w:rsid w:val="00F55FE6"/>
    <w:rsid w:val="00F609D5"/>
    <w:rsid w:val="00F62D89"/>
    <w:rsid w:val="00F6330C"/>
    <w:rsid w:val="00F664D3"/>
    <w:rsid w:val="00F6686A"/>
    <w:rsid w:val="00F66F34"/>
    <w:rsid w:val="00F7184A"/>
    <w:rsid w:val="00F727FB"/>
    <w:rsid w:val="00F73D93"/>
    <w:rsid w:val="00F75FF7"/>
    <w:rsid w:val="00F77652"/>
    <w:rsid w:val="00F82066"/>
    <w:rsid w:val="00F824C2"/>
    <w:rsid w:val="00F83B92"/>
    <w:rsid w:val="00F877C5"/>
    <w:rsid w:val="00F87C82"/>
    <w:rsid w:val="00F91823"/>
    <w:rsid w:val="00F942C8"/>
    <w:rsid w:val="00FA2160"/>
    <w:rsid w:val="00FB2DA0"/>
    <w:rsid w:val="00FB45F6"/>
    <w:rsid w:val="00FB56CD"/>
    <w:rsid w:val="00FB61BE"/>
    <w:rsid w:val="00FB77DD"/>
    <w:rsid w:val="00FC383F"/>
    <w:rsid w:val="00FC5849"/>
    <w:rsid w:val="00FC6ECD"/>
    <w:rsid w:val="00FC705A"/>
    <w:rsid w:val="00FC7B89"/>
    <w:rsid w:val="00FC7F84"/>
    <w:rsid w:val="00FE1FA0"/>
    <w:rsid w:val="00FE348F"/>
    <w:rsid w:val="00FE7917"/>
    <w:rsid w:val="00FF05FD"/>
    <w:rsid w:val="00FF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2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175B"/>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semiHidden/>
    <w:unhideWhenUsed/>
    <w:qFormat/>
    <w:rsid w:val="00E53E65"/>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8C1B4D"/>
    <w:pPr>
      <w:keepNext/>
      <w:keepLines/>
      <w:spacing w:before="200" w:line="259" w:lineRule="auto"/>
      <w:outlineLvl w:val="2"/>
    </w:pPr>
    <w:rPr>
      <w:rFonts w:asciiTheme="majorHAnsi" w:eastAsiaTheme="majorEastAsia" w:hAnsiTheme="majorHAnsi" w:cstheme="majorBidi"/>
      <w:b/>
      <w:bCs/>
      <w:color w:val="5B9BD5"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256121"/>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textAlignment w:val="baseline"/>
    </w:pPr>
    <w:rPr>
      <w:sz w:val="28"/>
      <w:szCs w:val="28"/>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sz w:val="22"/>
      <w:szCs w:val="22"/>
      <w:lang w:eastAsia="en-US"/>
    </w:rPr>
  </w:style>
  <w:style w:type="paragraph" w:styleId="a8">
    <w:name w:val="Title"/>
    <w:basedOn w:val="a"/>
    <w:link w:val="a9"/>
    <w:qFormat/>
    <w:rsid w:val="009000A3"/>
    <w:pPr>
      <w:spacing w:line="360" w:lineRule="auto"/>
      <w:ind w:firstLine="720"/>
      <w:jc w:val="center"/>
    </w:pPr>
    <w:rPr>
      <w:b/>
      <w:szCs w:val="26"/>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ind w:left="283" w:hanging="283"/>
    </w:pPr>
    <w:rPr>
      <w:sz w:val="28"/>
      <w:szCs w:val="26"/>
    </w:rPr>
  </w:style>
  <w:style w:type="paragraph" w:customStyle="1" w:styleId="ab">
    <w:name w:val="Основ"/>
    <w:basedOn w:val="a"/>
    <w:rsid w:val="00E53E65"/>
    <w:pPr>
      <w:widowControl w:val="0"/>
    </w:pPr>
    <w:rPr>
      <w:b/>
      <w:szCs w:val="26"/>
      <w:lang w:val="en-US"/>
    </w:rPr>
  </w:style>
  <w:style w:type="paragraph" w:styleId="ac">
    <w:name w:val="Body Text"/>
    <w:basedOn w:val="a"/>
    <w:link w:val="ad"/>
    <w:semiHidden/>
    <w:rsid w:val="00E53E65"/>
    <w:pPr>
      <w:widowControl w:val="0"/>
      <w:jc w:val="both"/>
    </w:pPr>
    <w:rPr>
      <w:sz w:val="28"/>
      <w:szCs w:val="26"/>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rPr>
      <w:rFonts w:ascii="Calibri" w:eastAsiaTheme="minorHAnsi" w:hAnsi="Calibri" w:cstheme="minorBidi"/>
      <w:sz w:val="22"/>
      <w:szCs w:val="22"/>
      <w:lang w:val="x-none" w:eastAsia="en-US"/>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ind w:firstLine="709"/>
      <w:jc w:val="both"/>
    </w:pPr>
    <w:rPr>
      <w:sz w:val="28"/>
      <w:szCs w:val="28"/>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after="160" w:line="240" w:lineRule="exact"/>
    </w:pPr>
    <w:rPr>
      <w:rFonts w:ascii="Verdana" w:hAnsi="Verdana" w:cs="Verdana"/>
      <w:sz w:val="20"/>
      <w:szCs w:val="20"/>
      <w:lang w:val="en-US" w:eastAsia="en-US"/>
    </w:rPr>
  </w:style>
  <w:style w:type="paragraph" w:customStyle="1" w:styleId="afc">
    <w:name w:val="Акт"/>
    <w:basedOn w:val="a"/>
    <w:link w:val="afd"/>
    <w:qFormat/>
    <w:rsid w:val="00A804F9"/>
    <w:pPr>
      <w:suppressAutoHyphens/>
      <w:ind w:firstLine="709"/>
      <w:jc w:val="both"/>
    </w:pPr>
    <w:rPr>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pPr>
    <w:rPr>
      <w:rFonts w:asciiTheme="minorHAnsi" w:eastAsiaTheme="minorHAnsi" w:hAnsiTheme="minorHAnsi" w:cstheme="minorBidi"/>
      <w:sz w:val="22"/>
      <w:szCs w:val="22"/>
      <w:lang w:eastAsia="en-US"/>
    </w:r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pPr>
    <w:rPr>
      <w:rFonts w:asciiTheme="minorHAnsi" w:eastAsiaTheme="minorHAnsi" w:hAnsiTheme="minorHAnsi" w:cstheme="minorBidi"/>
      <w:sz w:val="22"/>
      <w:szCs w:val="22"/>
      <w:lang w:eastAsia="en-US"/>
    </w:r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2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175B"/>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semiHidden/>
    <w:unhideWhenUsed/>
    <w:qFormat/>
    <w:rsid w:val="00E53E65"/>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8C1B4D"/>
    <w:pPr>
      <w:keepNext/>
      <w:keepLines/>
      <w:spacing w:before="200" w:line="259" w:lineRule="auto"/>
      <w:outlineLvl w:val="2"/>
    </w:pPr>
    <w:rPr>
      <w:rFonts w:asciiTheme="majorHAnsi" w:eastAsiaTheme="majorEastAsia" w:hAnsiTheme="majorHAnsi" w:cstheme="majorBidi"/>
      <w:b/>
      <w:bCs/>
      <w:color w:val="5B9BD5"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5B"/>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E175B"/>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256121"/>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256121"/>
    <w:rPr>
      <w:rFonts w:ascii="Tahoma" w:hAnsi="Tahoma" w:cs="Tahoma"/>
      <w:sz w:val="16"/>
      <w:szCs w:val="16"/>
    </w:rPr>
  </w:style>
  <w:style w:type="table" w:styleId="a6">
    <w:name w:val="Light Shading"/>
    <w:basedOn w:val="a1"/>
    <w:uiPriority w:val="60"/>
    <w:rsid w:val="00B56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39"/>
    <w:rsid w:val="00B5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Должность1"/>
    <w:basedOn w:val="a"/>
    <w:rsid w:val="0058007C"/>
    <w:pPr>
      <w:overflowPunct w:val="0"/>
      <w:autoSpaceDE w:val="0"/>
      <w:autoSpaceDN w:val="0"/>
      <w:adjustRightInd w:val="0"/>
      <w:textAlignment w:val="baseline"/>
    </w:pPr>
    <w:rPr>
      <w:sz w:val="28"/>
      <w:szCs w:val="28"/>
    </w:rPr>
  </w:style>
  <w:style w:type="paragraph" w:customStyle="1" w:styleId="Default">
    <w:name w:val="Default"/>
    <w:rsid w:val="004B42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Абзац списка1"/>
    <w:basedOn w:val="a"/>
    <w:rsid w:val="00567D22"/>
    <w:pPr>
      <w:spacing w:after="200" w:line="276" w:lineRule="auto"/>
      <w:ind w:left="720"/>
    </w:pPr>
    <w:rPr>
      <w:rFonts w:ascii="Calibri" w:eastAsia="Calibri" w:hAnsi="Calibri" w:cs="Calibri"/>
      <w:sz w:val="22"/>
      <w:szCs w:val="22"/>
      <w:lang w:eastAsia="en-US"/>
    </w:rPr>
  </w:style>
  <w:style w:type="paragraph" w:styleId="a8">
    <w:name w:val="Title"/>
    <w:basedOn w:val="a"/>
    <w:link w:val="a9"/>
    <w:qFormat/>
    <w:rsid w:val="009000A3"/>
    <w:pPr>
      <w:spacing w:line="360" w:lineRule="auto"/>
      <w:ind w:firstLine="720"/>
      <w:jc w:val="center"/>
    </w:pPr>
    <w:rPr>
      <w:b/>
      <w:szCs w:val="26"/>
    </w:rPr>
  </w:style>
  <w:style w:type="character" w:customStyle="1" w:styleId="a9">
    <w:name w:val="Название Знак"/>
    <w:basedOn w:val="a0"/>
    <w:link w:val="a8"/>
    <w:rsid w:val="009000A3"/>
    <w:rPr>
      <w:rFonts w:ascii="Times New Roman" w:eastAsia="Times New Roman" w:hAnsi="Times New Roman" w:cs="Times New Roman"/>
      <w:b/>
      <w:sz w:val="24"/>
      <w:szCs w:val="26"/>
      <w:lang w:eastAsia="ru-RU"/>
    </w:rPr>
  </w:style>
  <w:style w:type="paragraph" w:styleId="aa">
    <w:name w:val="List"/>
    <w:basedOn w:val="a"/>
    <w:semiHidden/>
    <w:rsid w:val="00E53E65"/>
    <w:pPr>
      <w:widowControl w:val="0"/>
      <w:ind w:left="283" w:hanging="283"/>
    </w:pPr>
    <w:rPr>
      <w:sz w:val="28"/>
      <w:szCs w:val="26"/>
    </w:rPr>
  </w:style>
  <w:style w:type="paragraph" w:customStyle="1" w:styleId="ab">
    <w:name w:val="Основ"/>
    <w:basedOn w:val="a"/>
    <w:rsid w:val="00E53E65"/>
    <w:pPr>
      <w:widowControl w:val="0"/>
    </w:pPr>
    <w:rPr>
      <w:b/>
      <w:szCs w:val="26"/>
      <w:lang w:val="en-US"/>
    </w:rPr>
  </w:style>
  <w:style w:type="paragraph" w:styleId="ac">
    <w:name w:val="Body Text"/>
    <w:basedOn w:val="a"/>
    <w:link w:val="ad"/>
    <w:semiHidden/>
    <w:rsid w:val="00E53E65"/>
    <w:pPr>
      <w:widowControl w:val="0"/>
      <w:jc w:val="both"/>
    </w:pPr>
    <w:rPr>
      <w:sz w:val="28"/>
      <w:szCs w:val="26"/>
    </w:rPr>
  </w:style>
  <w:style w:type="character" w:customStyle="1" w:styleId="ad">
    <w:name w:val="Основной текст Знак"/>
    <w:basedOn w:val="a0"/>
    <w:link w:val="ac"/>
    <w:semiHidden/>
    <w:rsid w:val="00E53E65"/>
    <w:rPr>
      <w:rFonts w:ascii="Times New Roman" w:eastAsia="Times New Roman" w:hAnsi="Times New Roman" w:cs="Times New Roman"/>
      <w:sz w:val="28"/>
      <w:szCs w:val="26"/>
      <w:lang w:eastAsia="ru-RU"/>
    </w:rPr>
  </w:style>
  <w:style w:type="character" w:customStyle="1" w:styleId="20">
    <w:name w:val="Заголовок 2 Знак"/>
    <w:basedOn w:val="a0"/>
    <w:link w:val="2"/>
    <w:uiPriority w:val="9"/>
    <w:semiHidden/>
    <w:rsid w:val="00E53E65"/>
    <w:rPr>
      <w:rFonts w:asciiTheme="majorHAnsi" w:eastAsiaTheme="majorEastAsia" w:hAnsiTheme="majorHAnsi" w:cstheme="majorBidi"/>
      <w:b/>
      <w:bCs/>
      <w:color w:val="5B9BD5" w:themeColor="accent1"/>
      <w:sz w:val="26"/>
      <w:szCs w:val="26"/>
    </w:rPr>
  </w:style>
  <w:style w:type="character" w:customStyle="1" w:styleId="ae">
    <w:name w:val="Текст сноски Знак"/>
    <w:link w:val="af"/>
    <w:locked/>
    <w:rsid w:val="00E53E65"/>
    <w:rPr>
      <w:rFonts w:ascii="Calibri" w:hAnsi="Calibri"/>
      <w:lang w:val="x-none"/>
    </w:rPr>
  </w:style>
  <w:style w:type="paragraph" w:styleId="af">
    <w:name w:val="footnote text"/>
    <w:basedOn w:val="a"/>
    <w:link w:val="ae"/>
    <w:qFormat/>
    <w:rsid w:val="00E53E65"/>
    <w:rPr>
      <w:rFonts w:ascii="Calibri" w:eastAsiaTheme="minorHAnsi" w:hAnsi="Calibri" w:cstheme="minorBidi"/>
      <w:sz w:val="22"/>
      <w:szCs w:val="22"/>
      <w:lang w:val="x-none" w:eastAsia="en-US"/>
    </w:rPr>
  </w:style>
  <w:style w:type="character" w:customStyle="1" w:styleId="13">
    <w:name w:val="Текст сноски Знак1"/>
    <w:basedOn w:val="a0"/>
    <w:uiPriority w:val="99"/>
    <w:semiHidden/>
    <w:rsid w:val="00E53E65"/>
    <w:rPr>
      <w:sz w:val="20"/>
      <w:szCs w:val="20"/>
    </w:rPr>
  </w:style>
  <w:style w:type="character" w:styleId="af0">
    <w:name w:val="footnote reference"/>
    <w:aliases w:val="текст сноски,анкета сноска,Знак сноски-FN,Ciae niinee-FN,Знак сноски 1,Ciae niinee 1"/>
    <w:uiPriority w:val="99"/>
    <w:rsid w:val="00E53E65"/>
    <w:rPr>
      <w:vertAlign w:val="superscript"/>
    </w:rPr>
  </w:style>
  <w:style w:type="paragraph" w:customStyle="1" w:styleId="af1">
    <w:name w:val="Акты"/>
    <w:basedOn w:val="a"/>
    <w:link w:val="af2"/>
    <w:qFormat/>
    <w:rsid w:val="00971DF7"/>
    <w:pPr>
      <w:ind w:firstLine="709"/>
      <w:jc w:val="both"/>
    </w:pPr>
    <w:rPr>
      <w:sz w:val="28"/>
      <w:szCs w:val="28"/>
    </w:rPr>
  </w:style>
  <w:style w:type="character" w:customStyle="1" w:styleId="af2">
    <w:name w:val="Акты Знак"/>
    <w:link w:val="af1"/>
    <w:rsid w:val="00971DF7"/>
    <w:rPr>
      <w:rFonts w:ascii="Times New Roman" w:eastAsia="Times New Roman" w:hAnsi="Times New Roman" w:cs="Times New Roman"/>
      <w:sz w:val="28"/>
      <w:szCs w:val="28"/>
      <w:lang w:eastAsia="ru-RU"/>
    </w:rPr>
  </w:style>
  <w:style w:type="character" w:customStyle="1" w:styleId="cs20fdfb881">
    <w:name w:val="cs20fdfb881"/>
    <w:basedOn w:val="a0"/>
    <w:rsid w:val="00F73D93"/>
    <w:rPr>
      <w:rFonts w:ascii="Courier New" w:hAnsi="Courier New" w:cs="Courier New" w:hint="default"/>
      <w:b w:val="0"/>
      <w:bCs w:val="0"/>
      <w:i w:val="0"/>
      <w:iCs w:val="0"/>
      <w:color w:val="000000"/>
      <w:sz w:val="28"/>
      <w:szCs w:val="28"/>
    </w:rPr>
  </w:style>
  <w:style w:type="character" w:styleId="af3">
    <w:name w:val="annotation reference"/>
    <w:basedOn w:val="a0"/>
    <w:uiPriority w:val="99"/>
    <w:semiHidden/>
    <w:unhideWhenUsed/>
    <w:rsid w:val="00484745"/>
    <w:rPr>
      <w:sz w:val="16"/>
      <w:szCs w:val="16"/>
    </w:rPr>
  </w:style>
  <w:style w:type="paragraph" w:styleId="af4">
    <w:name w:val="annotation text"/>
    <w:basedOn w:val="a"/>
    <w:link w:val="af5"/>
    <w:uiPriority w:val="99"/>
    <w:semiHidden/>
    <w:unhideWhenUsed/>
    <w:rsid w:val="00484745"/>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484745"/>
    <w:rPr>
      <w:sz w:val="20"/>
      <w:szCs w:val="20"/>
    </w:rPr>
  </w:style>
  <w:style w:type="paragraph" w:styleId="af6">
    <w:name w:val="annotation subject"/>
    <w:basedOn w:val="af4"/>
    <w:next w:val="af4"/>
    <w:link w:val="af7"/>
    <w:uiPriority w:val="99"/>
    <w:semiHidden/>
    <w:unhideWhenUsed/>
    <w:rsid w:val="00484745"/>
    <w:rPr>
      <w:b/>
      <w:bCs/>
    </w:rPr>
  </w:style>
  <w:style w:type="character" w:customStyle="1" w:styleId="af7">
    <w:name w:val="Тема примечания Знак"/>
    <w:basedOn w:val="af5"/>
    <w:link w:val="af6"/>
    <w:uiPriority w:val="99"/>
    <w:semiHidden/>
    <w:rsid w:val="00484745"/>
    <w:rPr>
      <w:b/>
      <w:bCs/>
      <w:sz w:val="20"/>
      <w:szCs w:val="20"/>
    </w:rPr>
  </w:style>
  <w:style w:type="paragraph" w:styleId="af8">
    <w:name w:val="endnote text"/>
    <w:basedOn w:val="a"/>
    <w:link w:val="af9"/>
    <w:uiPriority w:val="99"/>
    <w:semiHidden/>
    <w:unhideWhenUsed/>
    <w:rsid w:val="00484745"/>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484745"/>
    <w:rPr>
      <w:sz w:val="20"/>
      <w:szCs w:val="20"/>
    </w:rPr>
  </w:style>
  <w:style w:type="character" w:styleId="afa">
    <w:name w:val="endnote reference"/>
    <w:basedOn w:val="a0"/>
    <w:uiPriority w:val="99"/>
    <w:semiHidden/>
    <w:unhideWhenUsed/>
    <w:rsid w:val="00484745"/>
    <w:rPr>
      <w:vertAlign w:val="superscript"/>
    </w:rPr>
  </w:style>
  <w:style w:type="paragraph" w:customStyle="1" w:styleId="afb">
    <w:name w:val="Знак Знак Знак Знак Знак Знак Знак Знак Знак Знак"/>
    <w:basedOn w:val="a"/>
    <w:rsid w:val="00E80101"/>
    <w:pPr>
      <w:spacing w:after="160" w:line="240" w:lineRule="exact"/>
    </w:pPr>
    <w:rPr>
      <w:rFonts w:ascii="Verdana" w:hAnsi="Verdana" w:cs="Verdana"/>
      <w:sz w:val="20"/>
      <w:szCs w:val="20"/>
      <w:lang w:val="en-US" w:eastAsia="en-US"/>
    </w:rPr>
  </w:style>
  <w:style w:type="paragraph" w:customStyle="1" w:styleId="afc">
    <w:name w:val="Акт"/>
    <w:basedOn w:val="a"/>
    <w:link w:val="afd"/>
    <w:qFormat/>
    <w:rsid w:val="00A804F9"/>
    <w:pPr>
      <w:suppressAutoHyphens/>
      <w:ind w:firstLine="709"/>
      <w:jc w:val="both"/>
    </w:pPr>
    <w:rPr>
      <w:sz w:val="28"/>
      <w:szCs w:val="28"/>
      <w:lang w:val="x-none" w:eastAsia="x-none"/>
    </w:rPr>
  </w:style>
  <w:style w:type="character" w:customStyle="1" w:styleId="afd">
    <w:name w:val="Акт Знак"/>
    <w:link w:val="afc"/>
    <w:locked/>
    <w:rsid w:val="00A804F9"/>
    <w:rPr>
      <w:rFonts w:ascii="Times New Roman" w:eastAsia="Times New Roman" w:hAnsi="Times New Roman" w:cs="Times New Roman"/>
      <w:sz w:val="28"/>
      <w:szCs w:val="28"/>
      <w:lang w:val="x-none" w:eastAsia="x-none"/>
    </w:rPr>
  </w:style>
  <w:style w:type="paragraph" w:customStyle="1" w:styleId="6">
    <w:name w:val="Акт 6 пт"/>
    <w:basedOn w:val="afc"/>
    <w:qFormat/>
    <w:rsid w:val="00A804F9"/>
    <w:pPr>
      <w:tabs>
        <w:tab w:val="left" w:pos="284"/>
      </w:tabs>
      <w:spacing w:before="120"/>
    </w:pPr>
    <w:rPr>
      <w:szCs w:val="20"/>
    </w:rPr>
  </w:style>
  <w:style w:type="paragraph" w:styleId="afe">
    <w:name w:val="header"/>
    <w:basedOn w:val="a"/>
    <w:link w:val="aff"/>
    <w:uiPriority w:val="99"/>
    <w:unhideWhenUsed/>
    <w:rsid w:val="007242A9"/>
    <w:pPr>
      <w:tabs>
        <w:tab w:val="center" w:pos="4677"/>
        <w:tab w:val="right" w:pos="9355"/>
      </w:tabs>
    </w:pPr>
    <w:rPr>
      <w:rFonts w:asciiTheme="minorHAnsi" w:eastAsiaTheme="minorHAnsi" w:hAnsiTheme="minorHAnsi" w:cstheme="minorBidi"/>
      <w:sz w:val="22"/>
      <w:szCs w:val="22"/>
      <w:lang w:eastAsia="en-US"/>
    </w:rPr>
  </w:style>
  <w:style w:type="character" w:customStyle="1" w:styleId="aff">
    <w:name w:val="Верхний колонтитул Знак"/>
    <w:basedOn w:val="a0"/>
    <w:link w:val="afe"/>
    <w:uiPriority w:val="99"/>
    <w:rsid w:val="007242A9"/>
  </w:style>
  <w:style w:type="paragraph" w:styleId="aff0">
    <w:name w:val="footer"/>
    <w:basedOn w:val="a"/>
    <w:link w:val="aff1"/>
    <w:uiPriority w:val="99"/>
    <w:unhideWhenUsed/>
    <w:rsid w:val="007242A9"/>
    <w:pPr>
      <w:tabs>
        <w:tab w:val="center" w:pos="4677"/>
        <w:tab w:val="right" w:pos="9355"/>
      </w:tabs>
    </w:pPr>
    <w:rPr>
      <w:rFonts w:asciiTheme="minorHAnsi" w:eastAsiaTheme="minorHAnsi" w:hAnsiTheme="minorHAnsi" w:cstheme="minorBidi"/>
      <w:sz w:val="22"/>
      <w:szCs w:val="22"/>
      <w:lang w:eastAsia="en-US"/>
    </w:rPr>
  </w:style>
  <w:style w:type="character" w:customStyle="1" w:styleId="aff1">
    <w:name w:val="Нижний колонтитул Знак"/>
    <w:basedOn w:val="a0"/>
    <w:link w:val="aff0"/>
    <w:uiPriority w:val="99"/>
    <w:rsid w:val="007242A9"/>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782F"/>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uiPriority w:val="9"/>
    <w:rsid w:val="008C1B4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28">
      <w:bodyDiv w:val="1"/>
      <w:marLeft w:val="0"/>
      <w:marRight w:val="0"/>
      <w:marTop w:val="0"/>
      <w:marBottom w:val="0"/>
      <w:divBdr>
        <w:top w:val="none" w:sz="0" w:space="0" w:color="auto"/>
        <w:left w:val="none" w:sz="0" w:space="0" w:color="auto"/>
        <w:bottom w:val="none" w:sz="0" w:space="0" w:color="auto"/>
        <w:right w:val="none" w:sz="0" w:space="0" w:color="auto"/>
      </w:divBdr>
    </w:div>
    <w:div w:id="937243">
      <w:bodyDiv w:val="1"/>
      <w:marLeft w:val="0"/>
      <w:marRight w:val="0"/>
      <w:marTop w:val="0"/>
      <w:marBottom w:val="0"/>
      <w:divBdr>
        <w:top w:val="none" w:sz="0" w:space="0" w:color="auto"/>
        <w:left w:val="none" w:sz="0" w:space="0" w:color="auto"/>
        <w:bottom w:val="none" w:sz="0" w:space="0" w:color="auto"/>
        <w:right w:val="none" w:sz="0" w:space="0" w:color="auto"/>
      </w:divBdr>
    </w:div>
    <w:div w:id="7873882">
      <w:bodyDiv w:val="1"/>
      <w:marLeft w:val="0"/>
      <w:marRight w:val="0"/>
      <w:marTop w:val="0"/>
      <w:marBottom w:val="0"/>
      <w:divBdr>
        <w:top w:val="none" w:sz="0" w:space="0" w:color="auto"/>
        <w:left w:val="none" w:sz="0" w:space="0" w:color="auto"/>
        <w:bottom w:val="none" w:sz="0" w:space="0" w:color="auto"/>
        <w:right w:val="none" w:sz="0" w:space="0" w:color="auto"/>
      </w:divBdr>
    </w:div>
    <w:div w:id="14692675">
      <w:bodyDiv w:val="1"/>
      <w:marLeft w:val="0"/>
      <w:marRight w:val="0"/>
      <w:marTop w:val="0"/>
      <w:marBottom w:val="0"/>
      <w:divBdr>
        <w:top w:val="none" w:sz="0" w:space="0" w:color="auto"/>
        <w:left w:val="none" w:sz="0" w:space="0" w:color="auto"/>
        <w:bottom w:val="none" w:sz="0" w:space="0" w:color="auto"/>
        <w:right w:val="none" w:sz="0" w:space="0" w:color="auto"/>
      </w:divBdr>
    </w:div>
    <w:div w:id="89661037">
      <w:bodyDiv w:val="1"/>
      <w:marLeft w:val="0"/>
      <w:marRight w:val="0"/>
      <w:marTop w:val="0"/>
      <w:marBottom w:val="0"/>
      <w:divBdr>
        <w:top w:val="none" w:sz="0" w:space="0" w:color="auto"/>
        <w:left w:val="none" w:sz="0" w:space="0" w:color="auto"/>
        <w:bottom w:val="none" w:sz="0" w:space="0" w:color="auto"/>
        <w:right w:val="none" w:sz="0" w:space="0" w:color="auto"/>
      </w:divBdr>
    </w:div>
    <w:div w:id="158354878">
      <w:bodyDiv w:val="1"/>
      <w:marLeft w:val="0"/>
      <w:marRight w:val="0"/>
      <w:marTop w:val="0"/>
      <w:marBottom w:val="0"/>
      <w:divBdr>
        <w:top w:val="none" w:sz="0" w:space="0" w:color="auto"/>
        <w:left w:val="none" w:sz="0" w:space="0" w:color="auto"/>
        <w:bottom w:val="none" w:sz="0" w:space="0" w:color="auto"/>
        <w:right w:val="none" w:sz="0" w:space="0" w:color="auto"/>
      </w:divBdr>
    </w:div>
    <w:div w:id="201214653">
      <w:bodyDiv w:val="1"/>
      <w:marLeft w:val="0"/>
      <w:marRight w:val="0"/>
      <w:marTop w:val="0"/>
      <w:marBottom w:val="0"/>
      <w:divBdr>
        <w:top w:val="none" w:sz="0" w:space="0" w:color="auto"/>
        <w:left w:val="none" w:sz="0" w:space="0" w:color="auto"/>
        <w:bottom w:val="none" w:sz="0" w:space="0" w:color="auto"/>
        <w:right w:val="none" w:sz="0" w:space="0" w:color="auto"/>
      </w:divBdr>
    </w:div>
    <w:div w:id="206380588">
      <w:bodyDiv w:val="1"/>
      <w:marLeft w:val="0"/>
      <w:marRight w:val="0"/>
      <w:marTop w:val="0"/>
      <w:marBottom w:val="0"/>
      <w:divBdr>
        <w:top w:val="none" w:sz="0" w:space="0" w:color="auto"/>
        <w:left w:val="none" w:sz="0" w:space="0" w:color="auto"/>
        <w:bottom w:val="none" w:sz="0" w:space="0" w:color="auto"/>
        <w:right w:val="none" w:sz="0" w:space="0" w:color="auto"/>
      </w:divBdr>
    </w:div>
    <w:div w:id="219485201">
      <w:bodyDiv w:val="1"/>
      <w:marLeft w:val="0"/>
      <w:marRight w:val="0"/>
      <w:marTop w:val="0"/>
      <w:marBottom w:val="0"/>
      <w:divBdr>
        <w:top w:val="none" w:sz="0" w:space="0" w:color="auto"/>
        <w:left w:val="none" w:sz="0" w:space="0" w:color="auto"/>
        <w:bottom w:val="none" w:sz="0" w:space="0" w:color="auto"/>
        <w:right w:val="none" w:sz="0" w:space="0" w:color="auto"/>
      </w:divBdr>
    </w:div>
    <w:div w:id="233013139">
      <w:bodyDiv w:val="1"/>
      <w:marLeft w:val="0"/>
      <w:marRight w:val="0"/>
      <w:marTop w:val="0"/>
      <w:marBottom w:val="0"/>
      <w:divBdr>
        <w:top w:val="none" w:sz="0" w:space="0" w:color="auto"/>
        <w:left w:val="none" w:sz="0" w:space="0" w:color="auto"/>
        <w:bottom w:val="none" w:sz="0" w:space="0" w:color="auto"/>
        <w:right w:val="none" w:sz="0" w:space="0" w:color="auto"/>
      </w:divBdr>
    </w:div>
    <w:div w:id="249703063">
      <w:bodyDiv w:val="1"/>
      <w:marLeft w:val="0"/>
      <w:marRight w:val="0"/>
      <w:marTop w:val="0"/>
      <w:marBottom w:val="0"/>
      <w:divBdr>
        <w:top w:val="none" w:sz="0" w:space="0" w:color="auto"/>
        <w:left w:val="none" w:sz="0" w:space="0" w:color="auto"/>
        <w:bottom w:val="none" w:sz="0" w:space="0" w:color="auto"/>
        <w:right w:val="none" w:sz="0" w:space="0" w:color="auto"/>
      </w:divBdr>
    </w:div>
    <w:div w:id="304092355">
      <w:bodyDiv w:val="1"/>
      <w:marLeft w:val="0"/>
      <w:marRight w:val="0"/>
      <w:marTop w:val="0"/>
      <w:marBottom w:val="0"/>
      <w:divBdr>
        <w:top w:val="none" w:sz="0" w:space="0" w:color="auto"/>
        <w:left w:val="none" w:sz="0" w:space="0" w:color="auto"/>
        <w:bottom w:val="none" w:sz="0" w:space="0" w:color="auto"/>
        <w:right w:val="none" w:sz="0" w:space="0" w:color="auto"/>
      </w:divBdr>
    </w:div>
    <w:div w:id="310252176">
      <w:bodyDiv w:val="1"/>
      <w:marLeft w:val="0"/>
      <w:marRight w:val="0"/>
      <w:marTop w:val="0"/>
      <w:marBottom w:val="0"/>
      <w:divBdr>
        <w:top w:val="none" w:sz="0" w:space="0" w:color="auto"/>
        <w:left w:val="none" w:sz="0" w:space="0" w:color="auto"/>
        <w:bottom w:val="none" w:sz="0" w:space="0" w:color="auto"/>
        <w:right w:val="none" w:sz="0" w:space="0" w:color="auto"/>
      </w:divBdr>
    </w:div>
    <w:div w:id="317391180">
      <w:bodyDiv w:val="1"/>
      <w:marLeft w:val="0"/>
      <w:marRight w:val="0"/>
      <w:marTop w:val="0"/>
      <w:marBottom w:val="0"/>
      <w:divBdr>
        <w:top w:val="none" w:sz="0" w:space="0" w:color="auto"/>
        <w:left w:val="none" w:sz="0" w:space="0" w:color="auto"/>
        <w:bottom w:val="none" w:sz="0" w:space="0" w:color="auto"/>
        <w:right w:val="none" w:sz="0" w:space="0" w:color="auto"/>
      </w:divBdr>
    </w:div>
    <w:div w:id="320044726">
      <w:bodyDiv w:val="1"/>
      <w:marLeft w:val="0"/>
      <w:marRight w:val="0"/>
      <w:marTop w:val="0"/>
      <w:marBottom w:val="0"/>
      <w:divBdr>
        <w:top w:val="none" w:sz="0" w:space="0" w:color="auto"/>
        <w:left w:val="none" w:sz="0" w:space="0" w:color="auto"/>
        <w:bottom w:val="none" w:sz="0" w:space="0" w:color="auto"/>
        <w:right w:val="none" w:sz="0" w:space="0" w:color="auto"/>
      </w:divBdr>
    </w:div>
    <w:div w:id="320235754">
      <w:bodyDiv w:val="1"/>
      <w:marLeft w:val="0"/>
      <w:marRight w:val="0"/>
      <w:marTop w:val="0"/>
      <w:marBottom w:val="0"/>
      <w:divBdr>
        <w:top w:val="none" w:sz="0" w:space="0" w:color="auto"/>
        <w:left w:val="none" w:sz="0" w:space="0" w:color="auto"/>
        <w:bottom w:val="none" w:sz="0" w:space="0" w:color="auto"/>
        <w:right w:val="none" w:sz="0" w:space="0" w:color="auto"/>
      </w:divBdr>
    </w:div>
    <w:div w:id="331756977">
      <w:bodyDiv w:val="1"/>
      <w:marLeft w:val="0"/>
      <w:marRight w:val="0"/>
      <w:marTop w:val="0"/>
      <w:marBottom w:val="0"/>
      <w:divBdr>
        <w:top w:val="none" w:sz="0" w:space="0" w:color="auto"/>
        <w:left w:val="none" w:sz="0" w:space="0" w:color="auto"/>
        <w:bottom w:val="none" w:sz="0" w:space="0" w:color="auto"/>
        <w:right w:val="none" w:sz="0" w:space="0" w:color="auto"/>
      </w:divBdr>
    </w:div>
    <w:div w:id="363604930">
      <w:bodyDiv w:val="1"/>
      <w:marLeft w:val="0"/>
      <w:marRight w:val="0"/>
      <w:marTop w:val="0"/>
      <w:marBottom w:val="0"/>
      <w:divBdr>
        <w:top w:val="none" w:sz="0" w:space="0" w:color="auto"/>
        <w:left w:val="none" w:sz="0" w:space="0" w:color="auto"/>
        <w:bottom w:val="none" w:sz="0" w:space="0" w:color="auto"/>
        <w:right w:val="none" w:sz="0" w:space="0" w:color="auto"/>
      </w:divBdr>
    </w:div>
    <w:div w:id="364796541">
      <w:bodyDiv w:val="1"/>
      <w:marLeft w:val="0"/>
      <w:marRight w:val="0"/>
      <w:marTop w:val="0"/>
      <w:marBottom w:val="0"/>
      <w:divBdr>
        <w:top w:val="none" w:sz="0" w:space="0" w:color="auto"/>
        <w:left w:val="none" w:sz="0" w:space="0" w:color="auto"/>
        <w:bottom w:val="none" w:sz="0" w:space="0" w:color="auto"/>
        <w:right w:val="none" w:sz="0" w:space="0" w:color="auto"/>
      </w:divBdr>
    </w:div>
    <w:div w:id="366609490">
      <w:bodyDiv w:val="1"/>
      <w:marLeft w:val="0"/>
      <w:marRight w:val="0"/>
      <w:marTop w:val="0"/>
      <w:marBottom w:val="0"/>
      <w:divBdr>
        <w:top w:val="none" w:sz="0" w:space="0" w:color="auto"/>
        <w:left w:val="none" w:sz="0" w:space="0" w:color="auto"/>
        <w:bottom w:val="none" w:sz="0" w:space="0" w:color="auto"/>
        <w:right w:val="none" w:sz="0" w:space="0" w:color="auto"/>
      </w:divBdr>
    </w:div>
    <w:div w:id="373044837">
      <w:bodyDiv w:val="1"/>
      <w:marLeft w:val="0"/>
      <w:marRight w:val="0"/>
      <w:marTop w:val="0"/>
      <w:marBottom w:val="0"/>
      <w:divBdr>
        <w:top w:val="none" w:sz="0" w:space="0" w:color="auto"/>
        <w:left w:val="none" w:sz="0" w:space="0" w:color="auto"/>
        <w:bottom w:val="none" w:sz="0" w:space="0" w:color="auto"/>
        <w:right w:val="none" w:sz="0" w:space="0" w:color="auto"/>
      </w:divBdr>
    </w:div>
    <w:div w:id="388040887">
      <w:bodyDiv w:val="1"/>
      <w:marLeft w:val="0"/>
      <w:marRight w:val="0"/>
      <w:marTop w:val="0"/>
      <w:marBottom w:val="0"/>
      <w:divBdr>
        <w:top w:val="none" w:sz="0" w:space="0" w:color="auto"/>
        <w:left w:val="none" w:sz="0" w:space="0" w:color="auto"/>
        <w:bottom w:val="none" w:sz="0" w:space="0" w:color="auto"/>
        <w:right w:val="none" w:sz="0" w:space="0" w:color="auto"/>
      </w:divBdr>
    </w:div>
    <w:div w:id="410156296">
      <w:bodyDiv w:val="1"/>
      <w:marLeft w:val="0"/>
      <w:marRight w:val="0"/>
      <w:marTop w:val="0"/>
      <w:marBottom w:val="0"/>
      <w:divBdr>
        <w:top w:val="none" w:sz="0" w:space="0" w:color="auto"/>
        <w:left w:val="none" w:sz="0" w:space="0" w:color="auto"/>
        <w:bottom w:val="none" w:sz="0" w:space="0" w:color="auto"/>
        <w:right w:val="none" w:sz="0" w:space="0" w:color="auto"/>
      </w:divBdr>
    </w:div>
    <w:div w:id="437139406">
      <w:bodyDiv w:val="1"/>
      <w:marLeft w:val="0"/>
      <w:marRight w:val="0"/>
      <w:marTop w:val="0"/>
      <w:marBottom w:val="0"/>
      <w:divBdr>
        <w:top w:val="none" w:sz="0" w:space="0" w:color="auto"/>
        <w:left w:val="none" w:sz="0" w:space="0" w:color="auto"/>
        <w:bottom w:val="none" w:sz="0" w:space="0" w:color="auto"/>
        <w:right w:val="none" w:sz="0" w:space="0" w:color="auto"/>
      </w:divBdr>
    </w:div>
    <w:div w:id="544676952">
      <w:bodyDiv w:val="1"/>
      <w:marLeft w:val="0"/>
      <w:marRight w:val="0"/>
      <w:marTop w:val="0"/>
      <w:marBottom w:val="0"/>
      <w:divBdr>
        <w:top w:val="none" w:sz="0" w:space="0" w:color="auto"/>
        <w:left w:val="none" w:sz="0" w:space="0" w:color="auto"/>
        <w:bottom w:val="none" w:sz="0" w:space="0" w:color="auto"/>
        <w:right w:val="none" w:sz="0" w:space="0" w:color="auto"/>
      </w:divBdr>
    </w:div>
    <w:div w:id="556091079">
      <w:bodyDiv w:val="1"/>
      <w:marLeft w:val="0"/>
      <w:marRight w:val="0"/>
      <w:marTop w:val="0"/>
      <w:marBottom w:val="0"/>
      <w:divBdr>
        <w:top w:val="none" w:sz="0" w:space="0" w:color="auto"/>
        <w:left w:val="none" w:sz="0" w:space="0" w:color="auto"/>
        <w:bottom w:val="none" w:sz="0" w:space="0" w:color="auto"/>
        <w:right w:val="none" w:sz="0" w:space="0" w:color="auto"/>
      </w:divBdr>
    </w:div>
    <w:div w:id="583882128">
      <w:bodyDiv w:val="1"/>
      <w:marLeft w:val="0"/>
      <w:marRight w:val="0"/>
      <w:marTop w:val="0"/>
      <w:marBottom w:val="0"/>
      <w:divBdr>
        <w:top w:val="none" w:sz="0" w:space="0" w:color="auto"/>
        <w:left w:val="none" w:sz="0" w:space="0" w:color="auto"/>
        <w:bottom w:val="none" w:sz="0" w:space="0" w:color="auto"/>
        <w:right w:val="none" w:sz="0" w:space="0" w:color="auto"/>
      </w:divBdr>
    </w:div>
    <w:div w:id="589586818">
      <w:bodyDiv w:val="1"/>
      <w:marLeft w:val="0"/>
      <w:marRight w:val="0"/>
      <w:marTop w:val="0"/>
      <w:marBottom w:val="0"/>
      <w:divBdr>
        <w:top w:val="none" w:sz="0" w:space="0" w:color="auto"/>
        <w:left w:val="none" w:sz="0" w:space="0" w:color="auto"/>
        <w:bottom w:val="none" w:sz="0" w:space="0" w:color="auto"/>
        <w:right w:val="none" w:sz="0" w:space="0" w:color="auto"/>
      </w:divBdr>
    </w:div>
    <w:div w:id="594636786">
      <w:bodyDiv w:val="1"/>
      <w:marLeft w:val="0"/>
      <w:marRight w:val="0"/>
      <w:marTop w:val="0"/>
      <w:marBottom w:val="0"/>
      <w:divBdr>
        <w:top w:val="none" w:sz="0" w:space="0" w:color="auto"/>
        <w:left w:val="none" w:sz="0" w:space="0" w:color="auto"/>
        <w:bottom w:val="none" w:sz="0" w:space="0" w:color="auto"/>
        <w:right w:val="none" w:sz="0" w:space="0" w:color="auto"/>
      </w:divBdr>
    </w:div>
    <w:div w:id="600457140">
      <w:bodyDiv w:val="1"/>
      <w:marLeft w:val="0"/>
      <w:marRight w:val="0"/>
      <w:marTop w:val="0"/>
      <w:marBottom w:val="0"/>
      <w:divBdr>
        <w:top w:val="none" w:sz="0" w:space="0" w:color="auto"/>
        <w:left w:val="none" w:sz="0" w:space="0" w:color="auto"/>
        <w:bottom w:val="none" w:sz="0" w:space="0" w:color="auto"/>
        <w:right w:val="none" w:sz="0" w:space="0" w:color="auto"/>
      </w:divBdr>
    </w:div>
    <w:div w:id="637107899">
      <w:bodyDiv w:val="1"/>
      <w:marLeft w:val="0"/>
      <w:marRight w:val="0"/>
      <w:marTop w:val="0"/>
      <w:marBottom w:val="0"/>
      <w:divBdr>
        <w:top w:val="none" w:sz="0" w:space="0" w:color="auto"/>
        <w:left w:val="none" w:sz="0" w:space="0" w:color="auto"/>
        <w:bottom w:val="none" w:sz="0" w:space="0" w:color="auto"/>
        <w:right w:val="none" w:sz="0" w:space="0" w:color="auto"/>
      </w:divBdr>
    </w:div>
    <w:div w:id="649285241">
      <w:bodyDiv w:val="1"/>
      <w:marLeft w:val="0"/>
      <w:marRight w:val="0"/>
      <w:marTop w:val="0"/>
      <w:marBottom w:val="0"/>
      <w:divBdr>
        <w:top w:val="none" w:sz="0" w:space="0" w:color="auto"/>
        <w:left w:val="none" w:sz="0" w:space="0" w:color="auto"/>
        <w:bottom w:val="none" w:sz="0" w:space="0" w:color="auto"/>
        <w:right w:val="none" w:sz="0" w:space="0" w:color="auto"/>
      </w:divBdr>
    </w:div>
    <w:div w:id="684746515">
      <w:bodyDiv w:val="1"/>
      <w:marLeft w:val="0"/>
      <w:marRight w:val="0"/>
      <w:marTop w:val="0"/>
      <w:marBottom w:val="0"/>
      <w:divBdr>
        <w:top w:val="none" w:sz="0" w:space="0" w:color="auto"/>
        <w:left w:val="none" w:sz="0" w:space="0" w:color="auto"/>
        <w:bottom w:val="none" w:sz="0" w:space="0" w:color="auto"/>
        <w:right w:val="none" w:sz="0" w:space="0" w:color="auto"/>
      </w:divBdr>
    </w:div>
    <w:div w:id="688792982">
      <w:bodyDiv w:val="1"/>
      <w:marLeft w:val="0"/>
      <w:marRight w:val="0"/>
      <w:marTop w:val="0"/>
      <w:marBottom w:val="0"/>
      <w:divBdr>
        <w:top w:val="none" w:sz="0" w:space="0" w:color="auto"/>
        <w:left w:val="none" w:sz="0" w:space="0" w:color="auto"/>
        <w:bottom w:val="none" w:sz="0" w:space="0" w:color="auto"/>
        <w:right w:val="none" w:sz="0" w:space="0" w:color="auto"/>
      </w:divBdr>
    </w:div>
    <w:div w:id="740953174">
      <w:bodyDiv w:val="1"/>
      <w:marLeft w:val="0"/>
      <w:marRight w:val="0"/>
      <w:marTop w:val="0"/>
      <w:marBottom w:val="0"/>
      <w:divBdr>
        <w:top w:val="none" w:sz="0" w:space="0" w:color="auto"/>
        <w:left w:val="none" w:sz="0" w:space="0" w:color="auto"/>
        <w:bottom w:val="none" w:sz="0" w:space="0" w:color="auto"/>
        <w:right w:val="none" w:sz="0" w:space="0" w:color="auto"/>
      </w:divBdr>
    </w:div>
    <w:div w:id="817190352">
      <w:bodyDiv w:val="1"/>
      <w:marLeft w:val="0"/>
      <w:marRight w:val="0"/>
      <w:marTop w:val="0"/>
      <w:marBottom w:val="0"/>
      <w:divBdr>
        <w:top w:val="none" w:sz="0" w:space="0" w:color="auto"/>
        <w:left w:val="none" w:sz="0" w:space="0" w:color="auto"/>
        <w:bottom w:val="none" w:sz="0" w:space="0" w:color="auto"/>
        <w:right w:val="none" w:sz="0" w:space="0" w:color="auto"/>
      </w:divBdr>
    </w:div>
    <w:div w:id="849031431">
      <w:bodyDiv w:val="1"/>
      <w:marLeft w:val="0"/>
      <w:marRight w:val="0"/>
      <w:marTop w:val="0"/>
      <w:marBottom w:val="0"/>
      <w:divBdr>
        <w:top w:val="none" w:sz="0" w:space="0" w:color="auto"/>
        <w:left w:val="none" w:sz="0" w:space="0" w:color="auto"/>
        <w:bottom w:val="none" w:sz="0" w:space="0" w:color="auto"/>
        <w:right w:val="none" w:sz="0" w:space="0" w:color="auto"/>
      </w:divBdr>
    </w:div>
    <w:div w:id="871723798">
      <w:bodyDiv w:val="1"/>
      <w:marLeft w:val="0"/>
      <w:marRight w:val="0"/>
      <w:marTop w:val="0"/>
      <w:marBottom w:val="0"/>
      <w:divBdr>
        <w:top w:val="none" w:sz="0" w:space="0" w:color="auto"/>
        <w:left w:val="none" w:sz="0" w:space="0" w:color="auto"/>
        <w:bottom w:val="none" w:sz="0" w:space="0" w:color="auto"/>
        <w:right w:val="none" w:sz="0" w:space="0" w:color="auto"/>
      </w:divBdr>
    </w:div>
    <w:div w:id="872351659">
      <w:bodyDiv w:val="1"/>
      <w:marLeft w:val="0"/>
      <w:marRight w:val="0"/>
      <w:marTop w:val="0"/>
      <w:marBottom w:val="0"/>
      <w:divBdr>
        <w:top w:val="none" w:sz="0" w:space="0" w:color="auto"/>
        <w:left w:val="none" w:sz="0" w:space="0" w:color="auto"/>
        <w:bottom w:val="none" w:sz="0" w:space="0" w:color="auto"/>
        <w:right w:val="none" w:sz="0" w:space="0" w:color="auto"/>
      </w:divBdr>
    </w:div>
    <w:div w:id="897976442">
      <w:bodyDiv w:val="1"/>
      <w:marLeft w:val="0"/>
      <w:marRight w:val="0"/>
      <w:marTop w:val="0"/>
      <w:marBottom w:val="0"/>
      <w:divBdr>
        <w:top w:val="none" w:sz="0" w:space="0" w:color="auto"/>
        <w:left w:val="none" w:sz="0" w:space="0" w:color="auto"/>
        <w:bottom w:val="none" w:sz="0" w:space="0" w:color="auto"/>
        <w:right w:val="none" w:sz="0" w:space="0" w:color="auto"/>
      </w:divBdr>
    </w:div>
    <w:div w:id="918060479">
      <w:bodyDiv w:val="1"/>
      <w:marLeft w:val="0"/>
      <w:marRight w:val="0"/>
      <w:marTop w:val="0"/>
      <w:marBottom w:val="0"/>
      <w:divBdr>
        <w:top w:val="none" w:sz="0" w:space="0" w:color="auto"/>
        <w:left w:val="none" w:sz="0" w:space="0" w:color="auto"/>
        <w:bottom w:val="none" w:sz="0" w:space="0" w:color="auto"/>
        <w:right w:val="none" w:sz="0" w:space="0" w:color="auto"/>
      </w:divBdr>
    </w:div>
    <w:div w:id="928393422">
      <w:bodyDiv w:val="1"/>
      <w:marLeft w:val="0"/>
      <w:marRight w:val="0"/>
      <w:marTop w:val="0"/>
      <w:marBottom w:val="0"/>
      <w:divBdr>
        <w:top w:val="none" w:sz="0" w:space="0" w:color="auto"/>
        <w:left w:val="none" w:sz="0" w:space="0" w:color="auto"/>
        <w:bottom w:val="none" w:sz="0" w:space="0" w:color="auto"/>
        <w:right w:val="none" w:sz="0" w:space="0" w:color="auto"/>
      </w:divBdr>
    </w:div>
    <w:div w:id="952634128">
      <w:bodyDiv w:val="1"/>
      <w:marLeft w:val="0"/>
      <w:marRight w:val="0"/>
      <w:marTop w:val="0"/>
      <w:marBottom w:val="0"/>
      <w:divBdr>
        <w:top w:val="none" w:sz="0" w:space="0" w:color="auto"/>
        <w:left w:val="none" w:sz="0" w:space="0" w:color="auto"/>
        <w:bottom w:val="none" w:sz="0" w:space="0" w:color="auto"/>
        <w:right w:val="none" w:sz="0" w:space="0" w:color="auto"/>
      </w:divBdr>
    </w:div>
    <w:div w:id="953101749">
      <w:bodyDiv w:val="1"/>
      <w:marLeft w:val="0"/>
      <w:marRight w:val="0"/>
      <w:marTop w:val="0"/>
      <w:marBottom w:val="0"/>
      <w:divBdr>
        <w:top w:val="none" w:sz="0" w:space="0" w:color="auto"/>
        <w:left w:val="none" w:sz="0" w:space="0" w:color="auto"/>
        <w:bottom w:val="none" w:sz="0" w:space="0" w:color="auto"/>
        <w:right w:val="none" w:sz="0" w:space="0" w:color="auto"/>
      </w:divBdr>
    </w:div>
    <w:div w:id="1013993090">
      <w:bodyDiv w:val="1"/>
      <w:marLeft w:val="0"/>
      <w:marRight w:val="0"/>
      <w:marTop w:val="0"/>
      <w:marBottom w:val="0"/>
      <w:divBdr>
        <w:top w:val="none" w:sz="0" w:space="0" w:color="auto"/>
        <w:left w:val="none" w:sz="0" w:space="0" w:color="auto"/>
        <w:bottom w:val="none" w:sz="0" w:space="0" w:color="auto"/>
        <w:right w:val="none" w:sz="0" w:space="0" w:color="auto"/>
      </w:divBdr>
    </w:div>
    <w:div w:id="1032263878">
      <w:bodyDiv w:val="1"/>
      <w:marLeft w:val="0"/>
      <w:marRight w:val="0"/>
      <w:marTop w:val="0"/>
      <w:marBottom w:val="0"/>
      <w:divBdr>
        <w:top w:val="none" w:sz="0" w:space="0" w:color="auto"/>
        <w:left w:val="none" w:sz="0" w:space="0" w:color="auto"/>
        <w:bottom w:val="none" w:sz="0" w:space="0" w:color="auto"/>
        <w:right w:val="none" w:sz="0" w:space="0" w:color="auto"/>
      </w:divBdr>
    </w:div>
    <w:div w:id="1108040160">
      <w:bodyDiv w:val="1"/>
      <w:marLeft w:val="0"/>
      <w:marRight w:val="0"/>
      <w:marTop w:val="0"/>
      <w:marBottom w:val="0"/>
      <w:divBdr>
        <w:top w:val="none" w:sz="0" w:space="0" w:color="auto"/>
        <w:left w:val="none" w:sz="0" w:space="0" w:color="auto"/>
        <w:bottom w:val="none" w:sz="0" w:space="0" w:color="auto"/>
        <w:right w:val="none" w:sz="0" w:space="0" w:color="auto"/>
      </w:divBdr>
    </w:div>
    <w:div w:id="1108934755">
      <w:bodyDiv w:val="1"/>
      <w:marLeft w:val="0"/>
      <w:marRight w:val="0"/>
      <w:marTop w:val="0"/>
      <w:marBottom w:val="0"/>
      <w:divBdr>
        <w:top w:val="none" w:sz="0" w:space="0" w:color="auto"/>
        <w:left w:val="none" w:sz="0" w:space="0" w:color="auto"/>
        <w:bottom w:val="none" w:sz="0" w:space="0" w:color="auto"/>
        <w:right w:val="none" w:sz="0" w:space="0" w:color="auto"/>
      </w:divBdr>
    </w:div>
    <w:div w:id="1111588078">
      <w:bodyDiv w:val="1"/>
      <w:marLeft w:val="0"/>
      <w:marRight w:val="0"/>
      <w:marTop w:val="0"/>
      <w:marBottom w:val="0"/>
      <w:divBdr>
        <w:top w:val="none" w:sz="0" w:space="0" w:color="auto"/>
        <w:left w:val="none" w:sz="0" w:space="0" w:color="auto"/>
        <w:bottom w:val="none" w:sz="0" w:space="0" w:color="auto"/>
        <w:right w:val="none" w:sz="0" w:space="0" w:color="auto"/>
      </w:divBdr>
    </w:div>
    <w:div w:id="1115564084">
      <w:bodyDiv w:val="1"/>
      <w:marLeft w:val="0"/>
      <w:marRight w:val="0"/>
      <w:marTop w:val="0"/>
      <w:marBottom w:val="0"/>
      <w:divBdr>
        <w:top w:val="none" w:sz="0" w:space="0" w:color="auto"/>
        <w:left w:val="none" w:sz="0" w:space="0" w:color="auto"/>
        <w:bottom w:val="none" w:sz="0" w:space="0" w:color="auto"/>
        <w:right w:val="none" w:sz="0" w:space="0" w:color="auto"/>
      </w:divBdr>
    </w:div>
    <w:div w:id="1131174280">
      <w:bodyDiv w:val="1"/>
      <w:marLeft w:val="0"/>
      <w:marRight w:val="0"/>
      <w:marTop w:val="0"/>
      <w:marBottom w:val="0"/>
      <w:divBdr>
        <w:top w:val="none" w:sz="0" w:space="0" w:color="auto"/>
        <w:left w:val="none" w:sz="0" w:space="0" w:color="auto"/>
        <w:bottom w:val="none" w:sz="0" w:space="0" w:color="auto"/>
        <w:right w:val="none" w:sz="0" w:space="0" w:color="auto"/>
      </w:divBdr>
    </w:div>
    <w:div w:id="1171289200">
      <w:bodyDiv w:val="1"/>
      <w:marLeft w:val="0"/>
      <w:marRight w:val="0"/>
      <w:marTop w:val="0"/>
      <w:marBottom w:val="0"/>
      <w:divBdr>
        <w:top w:val="none" w:sz="0" w:space="0" w:color="auto"/>
        <w:left w:val="none" w:sz="0" w:space="0" w:color="auto"/>
        <w:bottom w:val="none" w:sz="0" w:space="0" w:color="auto"/>
        <w:right w:val="none" w:sz="0" w:space="0" w:color="auto"/>
      </w:divBdr>
    </w:div>
    <w:div w:id="1173301424">
      <w:bodyDiv w:val="1"/>
      <w:marLeft w:val="0"/>
      <w:marRight w:val="0"/>
      <w:marTop w:val="0"/>
      <w:marBottom w:val="0"/>
      <w:divBdr>
        <w:top w:val="none" w:sz="0" w:space="0" w:color="auto"/>
        <w:left w:val="none" w:sz="0" w:space="0" w:color="auto"/>
        <w:bottom w:val="none" w:sz="0" w:space="0" w:color="auto"/>
        <w:right w:val="none" w:sz="0" w:space="0" w:color="auto"/>
      </w:divBdr>
    </w:div>
    <w:div w:id="1177161483">
      <w:bodyDiv w:val="1"/>
      <w:marLeft w:val="0"/>
      <w:marRight w:val="0"/>
      <w:marTop w:val="0"/>
      <w:marBottom w:val="0"/>
      <w:divBdr>
        <w:top w:val="none" w:sz="0" w:space="0" w:color="auto"/>
        <w:left w:val="none" w:sz="0" w:space="0" w:color="auto"/>
        <w:bottom w:val="none" w:sz="0" w:space="0" w:color="auto"/>
        <w:right w:val="none" w:sz="0" w:space="0" w:color="auto"/>
      </w:divBdr>
    </w:div>
    <w:div w:id="1203903309">
      <w:bodyDiv w:val="1"/>
      <w:marLeft w:val="0"/>
      <w:marRight w:val="0"/>
      <w:marTop w:val="0"/>
      <w:marBottom w:val="0"/>
      <w:divBdr>
        <w:top w:val="none" w:sz="0" w:space="0" w:color="auto"/>
        <w:left w:val="none" w:sz="0" w:space="0" w:color="auto"/>
        <w:bottom w:val="none" w:sz="0" w:space="0" w:color="auto"/>
        <w:right w:val="none" w:sz="0" w:space="0" w:color="auto"/>
      </w:divBdr>
    </w:div>
    <w:div w:id="1216968384">
      <w:bodyDiv w:val="1"/>
      <w:marLeft w:val="0"/>
      <w:marRight w:val="0"/>
      <w:marTop w:val="0"/>
      <w:marBottom w:val="0"/>
      <w:divBdr>
        <w:top w:val="none" w:sz="0" w:space="0" w:color="auto"/>
        <w:left w:val="none" w:sz="0" w:space="0" w:color="auto"/>
        <w:bottom w:val="none" w:sz="0" w:space="0" w:color="auto"/>
        <w:right w:val="none" w:sz="0" w:space="0" w:color="auto"/>
      </w:divBdr>
    </w:div>
    <w:div w:id="1226066075">
      <w:bodyDiv w:val="1"/>
      <w:marLeft w:val="0"/>
      <w:marRight w:val="0"/>
      <w:marTop w:val="0"/>
      <w:marBottom w:val="0"/>
      <w:divBdr>
        <w:top w:val="none" w:sz="0" w:space="0" w:color="auto"/>
        <w:left w:val="none" w:sz="0" w:space="0" w:color="auto"/>
        <w:bottom w:val="none" w:sz="0" w:space="0" w:color="auto"/>
        <w:right w:val="none" w:sz="0" w:space="0" w:color="auto"/>
      </w:divBdr>
    </w:div>
    <w:div w:id="1251889855">
      <w:bodyDiv w:val="1"/>
      <w:marLeft w:val="0"/>
      <w:marRight w:val="0"/>
      <w:marTop w:val="0"/>
      <w:marBottom w:val="0"/>
      <w:divBdr>
        <w:top w:val="none" w:sz="0" w:space="0" w:color="auto"/>
        <w:left w:val="none" w:sz="0" w:space="0" w:color="auto"/>
        <w:bottom w:val="none" w:sz="0" w:space="0" w:color="auto"/>
        <w:right w:val="none" w:sz="0" w:space="0" w:color="auto"/>
      </w:divBdr>
    </w:div>
    <w:div w:id="1265457438">
      <w:bodyDiv w:val="1"/>
      <w:marLeft w:val="0"/>
      <w:marRight w:val="0"/>
      <w:marTop w:val="0"/>
      <w:marBottom w:val="0"/>
      <w:divBdr>
        <w:top w:val="none" w:sz="0" w:space="0" w:color="auto"/>
        <w:left w:val="none" w:sz="0" w:space="0" w:color="auto"/>
        <w:bottom w:val="none" w:sz="0" w:space="0" w:color="auto"/>
        <w:right w:val="none" w:sz="0" w:space="0" w:color="auto"/>
      </w:divBdr>
    </w:div>
    <w:div w:id="1278485110">
      <w:bodyDiv w:val="1"/>
      <w:marLeft w:val="0"/>
      <w:marRight w:val="0"/>
      <w:marTop w:val="0"/>
      <w:marBottom w:val="0"/>
      <w:divBdr>
        <w:top w:val="none" w:sz="0" w:space="0" w:color="auto"/>
        <w:left w:val="none" w:sz="0" w:space="0" w:color="auto"/>
        <w:bottom w:val="none" w:sz="0" w:space="0" w:color="auto"/>
        <w:right w:val="none" w:sz="0" w:space="0" w:color="auto"/>
      </w:divBdr>
    </w:div>
    <w:div w:id="1294211325">
      <w:bodyDiv w:val="1"/>
      <w:marLeft w:val="0"/>
      <w:marRight w:val="0"/>
      <w:marTop w:val="0"/>
      <w:marBottom w:val="0"/>
      <w:divBdr>
        <w:top w:val="none" w:sz="0" w:space="0" w:color="auto"/>
        <w:left w:val="none" w:sz="0" w:space="0" w:color="auto"/>
        <w:bottom w:val="none" w:sz="0" w:space="0" w:color="auto"/>
        <w:right w:val="none" w:sz="0" w:space="0" w:color="auto"/>
      </w:divBdr>
    </w:div>
    <w:div w:id="1316371485">
      <w:bodyDiv w:val="1"/>
      <w:marLeft w:val="0"/>
      <w:marRight w:val="0"/>
      <w:marTop w:val="0"/>
      <w:marBottom w:val="0"/>
      <w:divBdr>
        <w:top w:val="none" w:sz="0" w:space="0" w:color="auto"/>
        <w:left w:val="none" w:sz="0" w:space="0" w:color="auto"/>
        <w:bottom w:val="none" w:sz="0" w:space="0" w:color="auto"/>
        <w:right w:val="none" w:sz="0" w:space="0" w:color="auto"/>
      </w:divBdr>
    </w:div>
    <w:div w:id="1320187157">
      <w:bodyDiv w:val="1"/>
      <w:marLeft w:val="0"/>
      <w:marRight w:val="0"/>
      <w:marTop w:val="0"/>
      <w:marBottom w:val="0"/>
      <w:divBdr>
        <w:top w:val="none" w:sz="0" w:space="0" w:color="auto"/>
        <w:left w:val="none" w:sz="0" w:space="0" w:color="auto"/>
        <w:bottom w:val="none" w:sz="0" w:space="0" w:color="auto"/>
        <w:right w:val="none" w:sz="0" w:space="0" w:color="auto"/>
      </w:divBdr>
    </w:div>
    <w:div w:id="1324818405">
      <w:bodyDiv w:val="1"/>
      <w:marLeft w:val="0"/>
      <w:marRight w:val="0"/>
      <w:marTop w:val="0"/>
      <w:marBottom w:val="0"/>
      <w:divBdr>
        <w:top w:val="none" w:sz="0" w:space="0" w:color="auto"/>
        <w:left w:val="none" w:sz="0" w:space="0" w:color="auto"/>
        <w:bottom w:val="none" w:sz="0" w:space="0" w:color="auto"/>
        <w:right w:val="none" w:sz="0" w:space="0" w:color="auto"/>
      </w:divBdr>
    </w:div>
    <w:div w:id="1325817817">
      <w:bodyDiv w:val="1"/>
      <w:marLeft w:val="0"/>
      <w:marRight w:val="0"/>
      <w:marTop w:val="0"/>
      <w:marBottom w:val="0"/>
      <w:divBdr>
        <w:top w:val="none" w:sz="0" w:space="0" w:color="auto"/>
        <w:left w:val="none" w:sz="0" w:space="0" w:color="auto"/>
        <w:bottom w:val="none" w:sz="0" w:space="0" w:color="auto"/>
        <w:right w:val="none" w:sz="0" w:space="0" w:color="auto"/>
      </w:divBdr>
    </w:div>
    <w:div w:id="1332948735">
      <w:bodyDiv w:val="1"/>
      <w:marLeft w:val="0"/>
      <w:marRight w:val="0"/>
      <w:marTop w:val="0"/>
      <w:marBottom w:val="0"/>
      <w:divBdr>
        <w:top w:val="none" w:sz="0" w:space="0" w:color="auto"/>
        <w:left w:val="none" w:sz="0" w:space="0" w:color="auto"/>
        <w:bottom w:val="none" w:sz="0" w:space="0" w:color="auto"/>
        <w:right w:val="none" w:sz="0" w:space="0" w:color="auto"/>
      </w:divBdr>
    </w:div>
    <w:div w:id="1359550055">
      <w:bodyDiv w:val="1"/>
      <w:marLeft w:val="0"/>
      <w:marRight w:val="0"/>
      <w:marTop w:val="0"/>
      <w:marBottom w:val="0"/>
      <w:divBdr>
        <w:top w:val="none" w:sz="0" w:space="0" w:color="auto"/>
        <w:left w:val="none" w:sz="0" w:space="0" w:color="auto"/>
        <w:bottom w:val="none" w:sz="0" w:space="0" w:color="auto"/>
        <w:right w:val="none" w:sz="0" w:space="0" w:color="auto"/>
      </w:divBdr>
    </w:div>
    <w:div w:id="1413090520">
      <w:bodyDiv w:val="1"/>
      <w:marLeft w:val="0"/>
      <w:marRight w:val="0"/>
      <w:marTop w:val="0"/>
      <w:marBottom w:val="0"/>
      <w:divBdr>
        <w:top w:val="none" w:sz="0" w:space="0" w:color="auto"/>
        <w:left w:val="none" w:sz="0" w:space="0" w:color="auto"/>
        <w:bottom w:val="none" w:sz="0" w:space="0" w:color="auto"/>
        <w:right w:val="none" w:sz="0" w:space="0" w:color="auto"/>
      </w:divBdr>
    </w:div>
    <w:div w:id="1413549582">
      <w:bodyDiv w:val="1"/>
      <w:marLeft w:val="0"/>
      <w:marRight w:val="0"/>
      <w:marTop w:val="0"/>
      <w:marBottom w:val="0"/>
      <w:divBdr>
        <w:top w:val="none" w:sz="0" w:space="0" w:color="auto"/>
        <w:left w:val="none" w:sz="0" w:space="0" w:color="auto"/>
        <w:bottom w:val="none" w:sz="0" w:space="0" w:color="auto"/>
        <w:right w:val="none" w:sz="0" w:space="0" w:color="auto"/>
      </w:divBdr>
    </w:div>
    <w:div w:id="1441224796">
      <w:bodyDiv w:val="1"/>
      <w:marLeft w:val="0"/>
      <w:marRight w:val="0"/>
      <w:marTop w:val="0"/>
      <w:marBottom w:val="0"/>
      <w:divBdr>
        <w:top w:val="none" w:sz="0" w:space="0" w:color="auto"/>
        <w:left w:val="none" w:sz="0" w:space="0" w:color="auto"/>
        <w:bottom w:val="none" w:sz="0" w:space="0" w:color="auto"/>
        <w:right w:val="none" w:sz="0" w:space="0" w:color="auto"/>
      </w:divBdr>
    </w:div>
    <w:div w:id="1468400855">
      <w:bodyDiv w:val="1"/>
      <w:marLeft w:val="0"/>
      <w:marRight w:val="0"/>
      <w:marTop w:val="0"/>
      <w:marBottom w:val="0"/>
      <w:divBdr>
        <w:top w:val="none" w:sz="0" w:space="0" w:color="auto"/>
        <w:left w:val="none" w:sz="0" w:space="0" w:color="auto"/>
        <w:bottom w:val="none" w:sz="0" w:space="0" w:color="auto"/>
        <w:right w:val="none" w:sz="0" w:space="0" w:color="auto"/>
      </w:divBdr>
    </w:div>
    <w:div w:id="1469131603">
      <w:bodyDiv w:val="1"/>
      <w:marLeft w:val="0"/>
      <w:marRight w:val="0"/>
      <w:marTop w:val="0"/>
      <w:marBottom w:val="0"/>
      <w:divBdr>
        <w:top w:val="none" w:sz="0" w:space="0" w:color="auto"/>
        <w:left w:val="none" w:sz="0" w:space="0" w:color="auto"/>
        <w:bottom w:val="none" w:sz="0" w:space="0" w:color="auto"/>
        <w:right w:val="none" w:sz="0" w:space="0" w:color="auto"/>
      </w:divBdr>
    </w:div>
    <w:div w:id="1481341559">
      <w:bodyDiv w:val="1"/>
      <w:marLeft w:val="0"/>
      <w:marRight w:val="0"/>
      <w:marTop w:val="0"/>
      <w:marBottom w:val="0"/>
      <w:divBdr>
        <w:top w:val="none" w:sz="0" w:space="0" w:color="auto"/>
        <w:left w:val="none" w:sz="0" w:space="0" w:color="auto"/>
        <w:bottom w:val="none" w:sz="0" w:space="0" w:color="auto"/>
        <w:right w:val="none" w:sz="0" w:space="0" w:color="auto"/>
      </w:divBdr>
    </w:div>
    <w:div w:id="1489396351">
      <w:bodyDiv w:val="1"/>
      <w:marLeft w:val="0"/>
      <w:marRight w:val="0"/>
      <w:marTop w:val="0"/>
      <w:marBottom w:val="0"/>
      <w:divBdr>
        <w:top w:val="none" w:sz="0" w:space="0" w:color="auto"/>
        <w:left w:val="none" w:sz="0" w:space="0" w:color="auto"/>
        <w:bottom w:val="none" w:sz="0" w:space="0" w:color="auto"/>
        <w:right w:val="none" w:sz="0" w:space="0" w:color="auto"/>
      </w:divBdr>
    </w:div>
    <w:div w:id="1522475109">
      <w:bodyDiv w:val="1"/>
      <w:marLeft w:val="0"/>
      <w:marRight w:val="0"/>
      <w:marTop w:val="0"/>
      <w:marBottom w:val="0"/>
      <w:divBdr>
        <w:top w:val="none" w:sz="0" w:space="0" w:color="auto"/>
        <w:left w:val="none" w:sz="0" w:space="0" w:color="auto"/>
        <w:bottom w:val="none" w:sz="0" w:space="0" w:color="auto"/>
        <w:right w:val="none" w:sz="0" w:space="0" w:color="auto"/>
      </w:divBdr>
    </w:div>
    <w:div w:id="1537355155">
      <w:bodyDiv w:val="1"/>
      <w:marLeft w:val="0"/>
      <w:marRight w:val="0"/>
      <w:marTop w:val="0"/>
      <w:marBottom w:val="0"/>
      <w:divBdr>
        <w:top w:val="none" w:sz="0" w:space="0" w:color="auto"/>
        <w:left w:val="none" w:sz="0" w:space="0" w:color="auto"/>
        <w:bottom w:val="none" w:sz="0" w:space="0" w:color="auto"/>
        <w:right w:val="none" w:sz="0" w:space="0" w:color="auto"/>
      </w:divBdr>
    </w:div>
    <w:div w:id="1545020803">
      <w:bodyDiv w:val="1"/>
      <w:marLeft w:val="0"/>
      <w:marRight w:val="0"/>
      <w:marTop w:val="0"/>
      <w:marBottom w:val="0"/>
      <w:divBdr>
        <w:top w:val="none" w:sz="0" w:space="0" w:color="auto"/>
        <w:left w:val="none" w:sz="0" w:space="0" w:color="auto"/>
        <w:bottom w:val="none" w:sz="0" w:space="0" w:color="auto"/>
        <w:right w:val="none" w:sz="0" w:space="0" w:color="auto"/>
      </w:divBdr>
    </w:div>
    <w:div w:id="1546674143">
      <w:bodyDiv w:val="1"/>
      <w:marLeft w:val="0"/>
      <w:marRight w:val="0"/>
      <w:marTop w:val="0"/>
      <w:marBottom w:val="0"/>
      <w:divBdr>
        <w:top w:val="none" w:sz="0" w:space="0" w:color="auto"/>
        <w:left w:val="none" w:sz="0" w:space="0" w:color="auto"/>
        <w:bottom w:val="none" w:sz="0" w:space="0" w:color="auto"/>
        <w:right w:val="none" w:sz="0" w:space="0" w:color="auto"/>
      </w:divBdr>
    </w:div>
    <w:div w:id="1549301912">
      <w:bodyDiv w:val="1"/>
      <w:marLeft w:val="0"/>
      <w:marRight w:val="0"/>
      <w:marTop w:val="0"/>
      <w:marBottom w:val="0"/>
      <w:divBdr>
        <w:top w:val="none" w:sz="0" w:space="0" w:color="auto"/>
        <w:left w:val="none" w:sz="0" w:space="0" w:color="auto"/>
        <w:bottom w:val="none" w:sz="0" w:space="0" w:color="auto"/>
        <w:right w:val="none" w:sz="0" w:space="0" w:color="auto"/>
      </w:divBdr>
    </w:div>
    <w:div w:id="1587348683">
      <w:bodyDiv w:val="1"/>
      <w:marLeft w:val="0"/>
      <w:marRight w:val="0"/>
      <w:marTop w:val="0"/>
      <w:marBottom w:val="0"/>
      <w:divBdr>
        <w:top w:val="none" w:sz="0" w:space="0" w:color="auto"/>
        <w:left w:val="none" w:sz="0" w:space="0" w:color="auto"/>
        <w:bottom w:val="none" w:sz="0" w:space="0" w:color="auto"/>
        <w:right w:val="none" w:sz="0" w:space="0" w:color="auto"/>
      </w:divBdr>
    </w:div>
    <w:div w:id="1605839881">
      <w:bodyDiv w:val="1"/>
      <w:marLeft w:val="0"/>
      <w:marRight w:val="0"/>
      <w:marTop w:val="0"/>
      <w:marBottom w:val="0"/>
      <w:divBdr>
        <w:top w:val="none" w:sz="0" w:space="0" w:color="auto"/>
        <w:left w:val="none" w:sz="0" w:space="0" w:color="auto"/>
        <w:bottom w:val="none" w:sz="0" w:space="0" w:color="auto"/>
        <w:right w:val="none" w:sz="0" w:space="0" w:color="auto"/>
      </w:divBdr>
    </w:div>
    <w:div w:id="1618875321">
      <w:bodyDiv w:val="1"/>
      <w:marLeft w:val="0"/>
      <w:marRight w:val="0"/>
      <w:marTop w:val="0"/>
      <w:marBottom w:val="0"/>
      <w:divBdr>
        <w:top w:val="none" w:sz="0" w:space="0" w:color="auto"/>
        <w:left w:val="none" w:sz="0" w:space="0" w:color="auto"/>
        <w:bottom w:val="none" w:sz="0" w:space="0" w:color="auto"/>
        <w:right w:val="none" w:sz="0" w:space="0" w:color="auto"/>
      </w:divBdr>
    </w:div>
    <w:div w:id="1619986726">
      <w:bodyDiv w:val="1"/>
      <w:marLeft w:val="0"/>
      <w:marRight w:val="0"/>
      <w:marTop w:val="0"/>
      <w:marBottom w:val="0"/>
      <w:divBdr>
        <w:top w:val="none" w:sz="0" w:space="0" w:color="auto"/>
        <w:left w:val="none" w:sz="0" w:space="0" w:color="auto"/>
        <w:bottom w:val="none" w:sz="0" w:space="0" w:color="auto"/>
        <w:right w:val="none" w:sz="0" w:space="0" w:color="auto"/>
      </w:divBdr>
    </w:div>
    <w:div w:id="1622104477">
      <w:bodyDiv w:val="1"/>
      <w:marLeft w:val="0"/>
      <w:marRight w:val="0"/>
      <w:marTop w:val="0"/>
      <w:marBottom w:val="0"/>
      <w:divBdr>
        <w:top w:val="none" w:sz="0" w:space="0" w:color="auto"/>
        <w:left w:val="none" w:sz="0" w:space="0" w:color="auto"/>
        <w:bottom w:val="none" w:sz="0" w:space="0" w:color="auto"/>
        <w:right w:val="none" w:sz="0" w:space="0" w:color="auto"/>
      </w:divBdr>
    </w:div>
    <w:div w:id="1643458384">
      <w:bodyDiv w:val="1"/>
      <w:marLeft w:val="0"/>
      <w:marRight w:val="0"/>
      <w:marTop w:val="0"/>
      <w:marBottom w:val="0"/>
      <w:divBdr>
        <w:top w:val="none" w:sz="0" w:space="0" w:color="auto"/>
        <w:left w:val="none" w:sz="0" w:space="0" w:color="auto"/>
        <w:bottom w:val="none" w:sz="0" w:space="0" w:color="auto"/>
        <w:right w:val="none" w:sz="0" w:space="0" w:color="auto"/>
      </w:divBdr>
    </w:div>
    <w:div w:id="1699352639">
      <w:bodyDiv w:val="1"/>
      <w:marLeft w:val="0"/>
      <w:marRight w:val="0"/>
      <w:marTop w:val="0"/>
      <w:marBottom w:val="0"/>
      <w:divBdr>
        <w:top w:val="none" w:sz="0" w:space="0" w:color="auto"/>
        <w:left w:val="none" w:sz="0" w:space="0" w:color="auto"/>
        <w:bottom w:val="none" w:sz="0" w:space="0" w:color="auto"/>
        <w:right w:val="none" w:sz="0" w:space="0" w:color="auto"/>
      </w:divBdr>
    </w:div>
    <w:div w:id="1724911840">
      <w:bodyDiv w:val="1"/>
      <w:marLeft w:val="0"/>
      <w:marRight w:val="0"/>
      <w:marTop w:val="0"/>
      <w:marBottom w:val="0"/>
      <w:divBdr>
        <w:top w:val="none" w:sz="0" w:space="0" w:color="auto"/>
        <w:left w:val="none" w:sz="0" w:space="0" w:color="auto"/>
        <w:bottom w:val="none" w:sz="0" w:space="0" w:color="auto"/>
        <w:right w:val="none" w:sz="0" w:space="0" w:color="auto"/>
      </w:divBdr>
    </w:div>
    <w:div w:id="1731079519">
      <w:bodyDiv w:val="1"/>
      <w:marLeft w:val="0"/>
      <w:marRight w:val="0"/>
      <w:marTop w:val="0"/>
      <w:marBottom w:val="0"/>
      <w:divBdr>
        <w:top w:val="none" w:sz="0" w:space="0" w:color="auto"/>
        <w:left w:val="none" w:sz="0" w:space="0" w:color="auto"/>
        <w:bottom w:val="none" w:sz="0" w:space="0" w:color="auto"/>
        <w:right w:val="none" w:sz="0" w:space="0" w:color="auto"/>
      </w:divBdr>
    </w:div>
    <w:div w:id="1738933624">
      <w:bodyDiv w:val="1"/>
      <w:marLeft w:val="0"/>
      <w:marRight w:val="0"/>
      <w:marTop w:val="0"/>
      <w:marBottom w:val="0"/>
      <w:divBdr>
        <w:top w:val="none" w:sz="0" w:space="0" w:color="auto"/>
        <w:left w:val="none" w:sz="0" w:space="0" w:color="auto"/>
        <w:bottom w:val="none" w:sz="0" w:space="0" w:color="auto"/>
        <w:right w:val="none" w:sz="0" w:space="0" w:color="auto"/>
      </w:divBdr>
    </w:div>
    <w:div w:id="1750732886">
      <w:bodyDiv w:val="1"/>
      <w:marLeft w:val="0"/>
      <w:marRight w:val="0"/>
      <w:marTop w:val="0"/>
      <w:marBottom w:val="0"/>
      <w:divBdr>
        <w:top w:val="none" w:sz="0" w:space="0" w:color="auto"/>
        <w:left w:val="none" w:sz="0" w:space="0" w:color="auto"/>
        <w:bottom w:val="none" w:sz="0" w:space="0" w:color="auto"/>
        <w:right w:val="none" w:sz="0" w:space="0" w:color="auto"/>
      </w:divBdr>
    </w:div>
    <w:div w:id="1766608993">
      <w:bodyDiv w:val="1"/>
      <w:marLeft w:val="0"/>
      <w:marRight w:val="0"/>
      <w:marTop w:val="0"/>
      <w:marBottom w:val="0"/>
      <w:divBdr>
        <w:top w:val="none" w:sz="0" w:space="0" w:color="auto"/>
        <w:left w:val="none" w:sz="0" w:space="0" w:color="auto"/>
        <w:bottom w:val="none" w:sz="0" w:space="0" w:color="auto"/>
        <w:right w:val="none" w:sz="0" w:space="0" w:color="auto"/>
      </w:divBdr>
    </w:div>
    <w:div w:id="1783570801">
      <w:bodyDiv w:val="1"/>
      <w:marLeft w:val="0"/>
      <w:marRight w:val="0"/>
      <w:marTop w:val="0"/>
      <w:marBottom w:val="0"/>
      <w:divBdr>
        <w:top w:val="none" w:sz="0" w:space="0" w:color="auto"/>
        <w:left w:val="none" w:sz="0" w:space="0" w:color="auto"/>
        <w:bottom w:val="none" w:sz="0" w:space="0" w:color="auto"/>
        <w:right w:val="none" w:sz="0" w:space="0" w:color="auto"/>
      </w:divBdr>
    </w:div>
    <w:div w:id="1787121312">
      <w:bodyDiv w:val="1"/>
      <w:marLeft w:val="0"/>
      <w:marRight w:val="0"/>
      <w:marTop w:val="0"/>
      <w:marBottom w:val="0"/>
      <w:divBdr>
        <w:top w:val="none" w:sz="0" w:space="0" w:color="auto"/>
        <w:left w:val="none" w:sz="0" w:space="0" w:color="auto"/>
        <w:bottom w:val="none" w:sz="0" w:space="0" w:color="auto"/>
        <w:right w:val="none" w:sz="0" w:space="0" w:color="auto"/>
      </w:divBdr>
    </w:div>
    <w:div w:id="1798835564">
      <w:bodyDiv w:val="1"/>
      <w:marLeft w:val="0"/>
      <w:marRight w:val="0"/>
      <w:marTop w:val="0"/>
      <w:marBottom w:val="0"/>
      <w:divBdr>
        <w:top w:val="none" w:sz="0" w:space="0" w:color="auto"/>
        <w:left w:val="none" w:sz="0" w:space="0" w:color="auto"/>
        <w:bottom w:val="none" w:sz="0" w:space="0" w:color="auto"/>
        <w:right w:val="none" w:sz="0" w:space="0" w:color="auto"/>
      </w:divBdr>
    </w:div>
    <w:div w:id="1801192084">
      <w:bodyDiv w:val="1"/>
      <w:marLeft w:val="0"/>
      <w:marRight w:val="0"/>
      <w:marTop w:val="0"/>
      <w:marBottom w:val="0"/>
      <w:divBdr>
        <w:top w:val="none" w:sz="0" w:space="0" w:color="auto"/>
        <w:left w:val="none" w:sz="0" w:space="0" w:color="auto"/>
        <w:bottom w:val="none" w:sz="0" w:space="0" w:color="auto"/>
        <w:right w:val="none" w:sz="0" w:space="0" w:color="auto"/>
      </w:divBdr>
    </w:div>
    <w:div w:id="1804733067">
      <w:bodyDiv w:val="1"/>
      <w:marLeft w:val="0"/>
      <w:marRight w:val="0"/>
      <w:marTop w:val="0"/>
      <w:marBottom w:val="0"/>
      <w:divBdr>
        <w:top w:val="none" w:sz="0" w:space="0" w:color="auto"/>
        <w:left w:val="none" w:sz="0" w:space="0" w:color="auto"/>
        <w:bottom w:val="none" w:sz="0" w:space="0" w:color="auto"/>
        <w:right w:val="none" w:sz="0" w:space="0" w:color="auto"/>
      </w:divBdr>
    </w:div>
    <w:div w:id="1815101825">
      <w:bodyDiv w:val="1"/>
      <w:marLeft w:val="0"/>
      <w:marRight w:val="0"/>
      <w:marTop w:val="0"/>
      <w:marBottom w:val="0"/>
      <w:divBdr>
        <w:top w:val="none" w:sz="0" w:space="0" w:color="auto"/>
        <w:left w:val="none" w:sz="0" w:space="0" w:color="auto"/>
        <w:bottom w:val="none" w:sz="0" w:space="0" w:color="auto"/>
        <w:right w:val="none" w:sz="0" w:space="0" w:color="auto"/>
      </w:divBdr>
    </w:div>
    <w:div w:id="1846902146">
      <w:bodyDiv w:val="1"/>
      <w:marLeft w:val="0"/>
      <w:marRight w:val="0"/>
      <w:marTop w:val="0"/>
      <w:marBottom w:val="0"/>
      <w:divBdr>
        <w:top w:val="none" w:sz="0" w:space="0" w:color="auto"/>
        <w:left w:val="none" w:sz="0" w:space="0" w:color="auto"/>
        <w:bottom w:val="none" w:sz="0" w:space="0" w:color="auto"/>
        <w:right w:val="none" w:sz="0" w:space="0" w:color="auto"/>
      </w:divBdr>
    </w:div>
    <w:div w:id="1847355962">
      <w:bodyDiv w:val="1"/>
      <w:marLeft w:val="0"/>
      <w:marRight w:val="0"/>
      <w:marTop w:val="0"/>
      <w:marBottom w:val="0"/>
      <w:divBdr>
        <w:top w:val="none" w:sz="0" w:space="0" w:color="auto"/>
        <w:left w:val="none" w:sz="0" w:space="0" w:color="auto"/>
        <w:bottom w:val="none" w:sz="0" w:space="0" w:color="auto"/>
        <w:right w:val="none" w:sz="0" w:space="0" w:color="auto"/>
      </w:divBdr>
    </w:div>
    <w:div w:id="1881894925">
      <w:bodyDiv w:val="1"/>
      <w:marLeft w:val="0"/>
      <w:marRight w:val="0"/>
      <w:marTop w:val="0"/>
      <w:marBottom w:val="0"/>
      <w:divBdr>
        <w:top w:val="none" w:sz="0" w:space="0" w:color="auto"/>
        <w:left w:val="none" w:sz="0" w:space="0" w:color="auto"/>
        <w:bottom w:val="none" w:sz="0" w:space="0" w:color="auto"/>
        <w:right w:val="none" w:sz="0" w:space="0" w:color="auto"/>
      </w:divBdr>
    </w:div>
    <w:div w:id="1898583843">
      <w:bodyDiv w:val="1"/>
      <w:marLeft w:val="0"/>
      <w:marRight w:val="0"/>
      <w:marTop w:val="0"/>
      <w:marBottom w:val="0"/>
      <w:divBdr>
        <w:top w:val="none" w:sz="0" w:space="0" w:color="auto"/>
        <w:left w:val="none" w:sz="0" w:space="0" w:color="auto"/>
        <w:bottom w:val="none" w:sz="0" w:space="0" w:color="auto"/>
        <w:right w:val="none" w:sz="0" w:space="0" w:color="auto"/>
      </w:divBdr>
    </w:div>
    <w:div w:id="1901818473">
      <w:bodyDiv w:val="1"/>
      <w:marLeft w:val="0"/>
      <w:marRight w:val="0"/>
      <w:marTop w:val="0"/>
      <w:marBottom w:val="0"/>
      <w:divBdr>
        <w:top w:val="none" w:sz="0" w:space="0" w:color="auto"/>
        <w:left w:val="none" w:sz="0" w:space="0" w:color="auto"/>
        <w:bottom w:val="none" w:sz="0" w:space="0" w:color="auto"/>
        <w:right w:val="none" w:sz="0" w:space="0" w:color="auto"/>
      </w:divBdr>
    </w:div>
    <w:div w:id="1902709458">
      <w:bodyDiv w:val="1"/>
      <w:marLeft w:val="0"/>
      <w:marRight w:val="0"/>
      <w:marTop w:val="0"/>
      <w:marBottom w:val="0"/>
      <w:divBdr>
        <w:top w:val="none" w:sz="0" w:space="0" w:color="auto"/>
        <w:left w:val="none" w:sz="0" w:space="0" w:color="auto"/>
        <w:bottom w:val="none" w:sz="0" w:space="0" w:color="auto"/>
        <w:right w:val="none" w:sz="0" w:space="0" w:color="auto"/>
      </w:divBdr>
    </w:div>
    <w:div w:id="1964732304">
      <w:bodyDiv w:val="1"/>
      <w:marLeft w:val="0"/>
      <w:marRight w:val="0"/>
      <w:marTop w:val="0"/>
      <w:marBottom w:val="0"/>
      <w:divBdr>
        <w:top w:val="none" w:sz="0" w:space="0" w:color="auto"/>
        <w:left w:val="none" w:sz="0" w:space="0" w:color="auto"/>
        <w:bottom w:val="none" w:sz="0" w:space="0" w:color="auto"/>
        <w:right w:val="none" w:sz="0" w:space="0" w:color="auto"/>
      </w:divBdr>
    </w:div>
    <w:div w:id="1983659889">
      <w:bodyDiv w:val="1"/>
      <w:marLeft w:val="0"/>
      <w:marRight w:val="0"/>
      <w:marTop w:val="0"/>
      <w:marBottom w:val="0"/>
      <w:divBdr>
        <w:top w:val="none" w:sz="0" w:space="0" w:color="auto"/>
        <w:left w:val="none" w:sz="0" w:space="0" w:color="auto"/>
        <w:bottom w:val="none" w:sz="0" w:space="0" w:color="auto"/>
        <w:right w:val="none" w:sz="0" w:space="0" w:color="auto"/>
      </w:divBdr>
    </w:div>
    <w:div w:id="2009596454">
      <w:bodyDiv w:val="1"/>
      <w:marLeft w:val="0"/>
      <w:marRight w:val="0"/>
      <w:marTop w:val="0"/>
      <w:marBottom w:val="0"/>
      <w:divBdr>
        <w:top w:val="none" w:sz="0" w:space="0" w:color="auto"/>
        <w:left w:val="none" w:sz="0" w:space="0" w:color="auto"/>
        <w:bottom w:val="none" w:sz="0" w:space="0" w:color="auto"/>
        <w:right w:val="none" w:sz="0" w:space="0" w:color="auto"/>
      </w:divBdr>
    </w:div>
    <w:div w:id="2024359984">
      <w:bodyDiv w:val="1"/>
      <w:marLeft w:val="0"/>
      <w:marRight w:val="0"/>
      <w:marTop w:val="0"/>
      <w:marBottom w:val="0"/>
      <w:divBdr>
        <w:top w:val="none" w:sz="0" w:space="0" w:color="auto"/>
        <w:left w:val="none" w:sz="0" w:space="0" w:color="auto"/>
        <w:bottom w:val="none" w:sz="0" w:space="0" w:color="auto"/>
        <w:right w:val="none" w:sz="0" w:space="0" w:color="auto"/>
      </w:divBdr>
    </w:div>
    <w:div w:id="2044281525">
      <w:bodyDiv w:val="1"/>
      <w:marLeft w:val="0"/>
      <w:marRight w:val="0"/>
      <w:marTop w:val="0"/>
      <w:marBottom w:val="0"/>
      <w:divBdr>
        <w:top w:val="none" w:sz="0" w:space="0" w:color="auto"/>
        <w:left w:val="none" w:sz="0" w:space="0" w:color="auto"/>
        <w:bottom w:val="none" w:sz="0" w:space="0" w:color="auto"/>
        <w:right w:val="none" w:sz="0" w:space="0" w:color="auto"/>
      </w:divBdr>
    </w:div>
    <w:div w:id="2057780791">
      <w:bodyDiv w:val="1"/>
      <w:marLeft w:val="0"/>
      <w:marRight w:val="0"/>
      <w:marTop w:val="0"/>
      <w:marBottom w:val="0"/>
      <w:divBdr>
        <w:top w:val="none" w:sz="0" w:space="0" w:color="auto"/>
        <w:left w:val="none" w:sz="0" w:space="0" w:color="auto"/>
        <w:bottom w:val="none" w:sz="0" w:space="0" w:color="auto"/>
        <w:right w:val="none" w:sz="0" w:space="0" w:color="auto"/>
      </w:divBdr>
    </w:div>
    <w:div w:id="2058432920">
      <w:bodyDiv w:val="1"/>
      <w:marLeft w:val="0"/>
      <w:marRight w:val="0"/>
      <w:marTop w:val="0"/>
      <w:marBottom w:val="0"/>
      <w:divBdr>
        <w:top w:val="none" w:sz="0" w:space="0" w:color="auto"/>
        <w:left w:val="none" w:sz="0" w:space="0" w:color="auto"/>
        <w:bottom w:val="none" w:sz="0" w:space="0" w:color="auto"/>
        <w:right w:val="none" w:sz="0" w:space="0" w:color="auto"/>
      </w:divBdr>
    </w:div>
    <w:div w:id="2065564194">
      <w:bodyDiv w:val="1"/>
      <w:marLeft w:val="0"/>
      <w:marRight w:val="0"/>
      <w:marTop w:val="0"/>
      <w:marBottom w:val="0"/>
      <w:divBdr>
        <w:top w:val="none" w:sz="0" w:space="0" w:color="auto"/>
        <w:left w:val="none" w:sz="0" w:space="0" w:color="auto"/>
        <w:bottom w:val="none" w:sz="0" w:space="0" w:color="auto"/>
        <w:right w:val="none" w:sz="0" w:space="0" w:color="auto"/>
      </w:divBdr>
    </w:div>
    <w:div w:id="2072774762">
      <w:bodyDiv w:val="1"/>
      <w:marLeft w:val="0"/>
      <w:marRight w:val="0"/>
      <w:marTop w:val="0"/>
      <w:marBottom w:val="0"/>
      <w:divBdr>
        <w:top w:val="none" w:sz="0" w:space="0" w:color="auto"/>
        <w:left w:val="none" w:sz="0" w:space="0" w:color="auto"/>
        <w:bottom w:val="none" w:sz="0" w:space="0" w:color="auto"/>
        <w:right w:val="none" w:sz="0" w:space="0" w:color="auto"/>
      </w:divBdr>
    </w:div>
    <w:div w:id="2084059482">
      <w:bodyDiv w:val="1"/>
      <w:marLeft w:val="0"/>
      <w:marRight w:val="0"/>
      <w:marTop w:val="0"/>
      <w:marBottom w:val="0"/>
      <w:divBdr>
        <w:top w:val="none" w:sz="0" w:space="0" w:color="auto"/>
        <w:left w:val="none" w:sz="0" w:space="0" w:color="auto"/>
        <w:bottom w:val="none" w:sz="0" w:space="0" w:color="auto"/>
        <w:right w:val="none" w:sz="0" w:space="0" w:color="auto"/>
      </w:divBdr>
    </w:div>
    <w:div w:id="2113933165">
      <w:bodyDiv w:val="1"/>
      <w:marLeft w:val="0"/>
      <w:marRight w:val="0"/>
      <w:marTop w:val="0"/>
      <w:marBottom w:val="0"/>
      <w:divBdr>
        <w:top w:val="none" w:sz="0" w:space="0" w:color="auto"/>
        <w:left w:val="none" w:sz="0" w:space="0" w:color="auto"/>
        <w:bottom w:val="none" w:sz="0" w:space="0" w:color="auto"/>
        <w:right w:val="none" w:sz="0" w:space="0" w:color="auto"/>
      </w:divBdr>
    </w:div>
    <w:div w:id="2117477753">
      <w:bodyDiv w:val="1"/>
      <w:marLeft w:val="0"/>
      <w:marRight w:val="0"/>
      <w:marTop w:val="0"/>
      <w:marBottom w:val="0"/>
      <w:divBdr>
        <w:top w:val="none" w:sz="0" w:space="0" w:color="auto"/>
        <w:left w:val="none" w:sz="0" w:space="0" w:color="auto"/>
        <w:bottom w:val="none" w:sz="0" w:space="0" w:color="auto"/>
        <w:right w:val="none" w:sz="0" w:space="0" w:color="auto"/>
      </w:divBdr>
    </w:div>
    <w:div w:id="2120298818">
      <w:bodyDiv w:val="1"/>
      <w:marLeft w:val="0"/>
      <w:marRight w:val="0"/>
      <w:marTop w:val="0"/>
      <w:marBottom w:val="0"/>
      <w:divBdr>
        <w:top w:val="none" w:sz="0" w:space="0" w:color="auto"/>
        <w:left w:val="none" w:sz="0" w:space="0" w:color="auto"/>
        <w:bottom w:val="none" w:sz="0" w:space="0" w:color="auto"/>
        <w:right w:val="none" w:sz="0" w:space="0" w:color="auto"/>
      </w:divBdr>
    </w:div>
    <w:div w:id="2137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{379373A7-7887-40ED-AB0B-A1BD42A7EFF1}</b:Guid>
    <b:RefOrder>1</b:RefOrder>
  </b:Source>
</b:Sources>
</file>

<file path=customXml/itemProps1.xml><?xml version="1.0" encoding="utf-8"?>
<ds:datastoreItem xmlns:ds="http://schemas.openxmlformats.org/officeDocument/2006/customXml" ds:itemID="{C21DEBE2-782B-484F-86F1-C26F42229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2558</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17111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Царевская Юлия Михайловна</cp:lastModifiedBy>
  <cp:revision>2</cp:revision>
  <cp:lastPrinted>2024-04-01T08:01:00Z</cp:lastPrinted>
  <dcterms:created xsi:type="dcterms:W3CDTF">2024-12-19T08:33:00Z</dcterms:created>
  <dcterms:modified xsi:type="dcterms:W3CDTF">2024-12-19T08:33:00Z</dcterms:modified>
</cp:coreProperties>
</file>