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Информация</w:t>
      </w:r>
    </w:p>
    <w:p w:rsidR="002B038B" w:rsidRPr="00704F6F" w:rsidRDefault="002B038B" w:rsidP="00704F6F">
      <w:pPr>
        <w:spacing w:after="0" w:line="283" w:lineRule="auto"/>
        <w:ind w:firstLine="709"/>
        <w:jc w:val="center"/>
        <w:rPr>
          <w:rFonts w:ascii="Times New Roman" w:hAnsi="Times New Roman" w:cs="Times New Roman"/>
          <w:b/>
          <w:sz w:val="20"/>
          <w:szCs w:val="20"/>
        </w:rPr>
      </w:pPr>
      <w:r w:rsidRPr="00704F6F">
        <w:rPr>
          <w:rFonts w:ascii="Times New Roman" w:hAnsi="Times New Roman" w:cs="Times New Roman"/>
          <w:b/>
          <w:sz w:val="20"/>
          <w:szCs w:val="20"/>
        </w:rPr>
        <w:t xml:space="preserve">о результатах </w:t>
      </w:r>
      <w:proofErr w:type="gramStart"/>
      <w:r w:rsidRPr="00704F6F">
        <w:rPr>
          <w:rFonts w:ascii="Times New Roman" w:hAnsi="Times New Roman" w:cs="Times New Roman"/>
          <w:b/>
          <w:sz w:val="20"/>
          <w:szCs w:val="20"/>
        </w:rPr>
        <w:t>экспертизы проекта решения Совета депутатов</w:t>
      </w:r>
      <w:proofErr w:type="gramEnd"/>
      <w:r w:rsidRPr="00704F6F">
        <w:rPr>
          <w:rFonts w:ascii="Times New Roman" w:hAnsi="Times New Roman" w:cs="Times New Roman"/>
          <w:b/>
          <w:sz w:val="20"/>
          <w:szCs w:val="20"/>
        </w:rPr>
        <w:t xml:space="preserve"> Печенгского муниципального округа Мурманской области </w:t>
      </w:r>
      <w:r w:rsidR="00E50917" w:rsidRPr="00E50917">
        <w:rPr>
          <w:rFonts w:ascii="Times New Roman" w:hAnsi="Times New Roman" w:cs="Times New Roman"/>
          <w:b/>
          <w:sz w:val="20"/>
          <w:szCs w:val="20"/>
        </w:rPr>
        <w:t>«О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p>
    <w:p w:rsidR="002B038B" w:rsidRPr="00704F6F" w:rsidRDefault="002B038B" w:rsidP="00704F6F">
      <w:pPr>
        <w:spacing w:after="0" w:line="283" w:lineRule="auto"/>
        <w:ind w:firstLine="709"/>
        <w:jc w:val="center"/>
        <w:rPr>
          <w:rFonts w:ascii="Times New Roman" w:eastAsia="Times New Roman" w:hAnsi="Times New Roman" w:cs="Times New Roman"/>
          <w:sz w:val="20"/>
          <w:szCs w:val="20"/>
          <w:lang w:eastAsia="ru-RU"/>
        </w:rPr>
      </w:pPr>
    </w:p>
    <w:p w:rsidR="002B038B" w:rsidRPr="00704F6F" w:rsidRDefault="002B038B" w:rsidP="00704F6F">
      <w:pPr>
        <w:spacing w:after="0" w:line="283" w:lineRule="auto"/>
        <w:ind w:firstLine="709"/>
        <w:rPr>
          <w:rFonts w:ascii="Times New Roman" w:hAnsi="Times New Roman" w:cs="Times New Roman"/>
          <w:b/>
          <w:sz w:val="20"/>
          <w:szCs w:val="20"/>
        </w:rPr>
      </w:pPr>
      <w:r w:rsidRPr="00704F6F">
        <w:rPr>
          <w:rFonts w:ascii="Times New Roman" w:hAnsi="Times New Roman" w:cs="Times New Roman"/>
          <w:b/>
          <w:sz w:val="20"/>
          <w:szCs w:val="20"/>
        </w:rPr>
        <w:t>Основание для проведения экспертизы:</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Бюджетный кодекс Российской Федерации (далее – БК РФ);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Федеральный закон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решение Совета депутатов Печенгского муниципального округа Мурманской области от 23.10.2020 № 41 «Об утверждении Положения о бюджетном процессе в Печенгском муниципальном округе Мурманской области» (далее - решение о бюджетном процессе);</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sz w:val="20"/>
          <w:szCs w:val="20"/>
        </w:rPr>
        <w:t xml:space="preserve">- решение Совета депутатов Печенгского муниципального округа Мурманской области от 25.12.2020 № 83 «О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 </w:t>
      </w:r>
    </w:p>
    <w:p w:rsidR="002B038B" w:rsidRPr="00704F6F"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Цель проведения экспертизы: </w:t>
      </w:r>
      <w:r w:rsidRPr="00704F6F">
        <w:rPr>
          <w:rFonts w:ascii="Times New Roman" w:hAnsi="Times New Roman" w:cs="Times New Roman"/>
          <w:sz w:val="20"/>
          <w:szCs w:val="20"/>
        </w:rPr>
        <w:t xml:space="preserve">определение обоснованности изменений, вносимых в решение Совета депутатов Печенгского муниципального округа Мурманской области </w:t>
      </w:r>
      <w:r w:rsidR="00E50917" w:rsidRPr="00E50917">
        <w:rPr>
          <w:rFonts w:ascii="Times New Roman" w:hAnsi="Times New Roman" w:cs="Times New Roman"/>
          <w:sz w:val="20"/>
          <w:szCs w:val="20"/>
        </w:rPr>
        <w:t>от 23.10.2020 № 39 «Об установлении земельного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решение о </w:t>
      </w:r>
      <w:r w:rsidR="00E50917">
        <w:rPr>
          <w:rFonts w:ascii="Times New Roman" w:hAnsi="Times New Roman" w:cs="Times New Roman"/>
          <w:sz w:val="20"/>
          <w:szCs w:val="20"/>
        </w:rPr>
        <w:t>земельном налоге</w:t>
      </w:r>
      <w:r w:rsidRPr="00704F6F">
        <w:rPr>
          <w:rFonts w:ascii="Times New Roman" w:hAnsi="Times New Roman" w:cs="Times New Roman"/>
          <w:sz w:val="20"/>
          <w:szCs w:val="20"/>
        </w:rPr>
        <w:t xml:space="preserve">). </w:t>
      </w:r>
    </w:p>
    <w:p w:rsidR="002B038B" w:rsidRDefault="002B038B" w:rsidP="00704F6F">
      <w:pPr>
        <w:spacing w:after="0" w:line="283" w:lineRule="auto"/>
        <w:ind w:firstLine="709"/>
        <w:jc w:val="both"/>
        <w:rPr>
          <w:rFonts w:ascii="Times New Roman" w:hAnsi="Times New Roman" w:cs="Times New Roman"/>
          <w:sz w:val="20"/>
          <w:szCs w:val="20"/>
        </w:rPr>
      </w:pPr>
      <w:r w:rsidRPr="00704F6F">
        <w:rPr>
          <w:rFonts w:ascii="Times New Roman" w:hAnsi="Times New Roman" w:cs="Times New Roman"/>
          <w:b/>
          <w:sz w:val="20"/>
          <w:szCs w:val="20"/>
        </w:rPr>
        <w:t xml:space="preserve">Предмет экспертизы: </w:t>
      </w:r>
      <w:r w:rsidRPr="00704F6F">
        <w:rPr>
          <w:rFonts w:ascii="Times New Roman" w:hAnsi="Times New Roman" w:cs="Times New Roman"/>
          <w:sz w:val="20"/>
          <w:szCs w:val="20"/>
        </w:rPr>
        <w:t>проект решения Совета депутатов Печенгского муниципального округа Мурманской области «</w:t>
      </w:r>
      <w:r w:rsidR="00E50917" w:rsidRPr="00E50917">
        <w:rPr>
          <w:rFonts w:ascii="Times New Roman" w:hAnsi="Times New Roman" w:cs="Times New Roman"/>
          <w:sz w:val="20"/>
          <w:szCs w:val="20"/>
        </w:rPr>
        <w:t>«О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r w:rsidRPr="00704F6F">
        <w:rPr>
          <w:rFonts w:ascii="Times New Roman" w:hAnsi="Times New Roman" w:cs="Times New Roman"/>
          <w:sz w:val="20"/>
          <w:szCs w:val="20"/>
        </w:rPr>
        <w:t xml:space="preserve"> (далее – проект решения), материалы и документы, подготовленные администрацией Печенгского муниципального округа.</w:t>
      </w:r>
    </w:p>
    <w:p w:rsidR="00165ED1" w:rsidRPr="00165ED1" w:rsidRDefault="00165ED1" w:rsidP="00165ED1">
      <w:pPr>
        <w:pStyle w:val="6"/>
        <w:spacing w:line="283" w:lineRule="auto"/>
        <w:contextualSpacing/>
        <w:rPr>
          <w:sz w:val="20"/>
          <w:lang w:val="ru-RU"/>
        </w:rPr>
      </w:pPr>
      <w:proofErr w:type="gramStart"/>
      <w:r w:rsidRPr="00165ED1">
        <w:rPr>
          <w:sz w:val="20"/>
          <w:lang w:val="ru-RU"/>
        </w:rPr>
        <w:t>Согласно статье 387 Налогового Кодекса Российской Федерации (далее – НК РФ) земельный налог устанавливается НК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roofErr w:type="gramEnd"/>
      <w:r w:rsidRPr="00165ED1">
        <w:rPr>
          <w:sz w:val="20"/>
          <w:lang w:val="ru-RU"/>
        </w:rPr>
        <w:t xml:space="preserve"> Устанавливая налог, представительные органы муниципальных образований определяют налоговые ставки в пределах, установленных статьей 394 НК РФ. </w:t>
      </w:r>
    </w:p>
    <w:p w:rsidR="00165ED1" w:rsidRPr="00165ED1" w:rsidRDefault="00165ED1" w:rsidP="00165ED1">
      <w:pPr>
        <w:pStyle w:val="6"/>
        <w:spacing w:line="283" w:lineRule="auto"/>
        <w:contextualSpacing/>
        <w:rPr>
          <w:sz w:val="20"/>
          <w:lang w:val="ru-RU"/>
        </w:rPr>
      </w:pPr>
      <w:proofErr w:type="gramStart"/>
      <w:r w:rsidRPr="00165ED1">
        <w:rPr>
          <w:sz w:val="20"/>
          <w:lang w:val="ru-RU"/>
        </w:rPr>
        <w:t>Согласно пункта</w:t>
      </w:r>
      <w:proofErr w:type="gramEnd"/>
      <w:r w:rsidRPr="00165ED1">
        <w:rPr>
          <w:sz w:val="20"/>
          <w:lang w:val="ru-RU"/>
        </w:rPr>
        <w:t xml:space="preserve"> 1 статьи 394 НК РФ налоговые ставки не могут превышать:</w:t>
      </w:r>
    </w:p>
    <w:p w:rsidR="00165ED1" w:rsidRPr="00165ED1" w:rsidRDefault="00165ED1" w:rsidP="00165ED1">
      <w:pPr>
        <w:pStyle w:val="6"/>
        <w:spacing w:line="283" w:lineRule="auto"/>
        <w:contextualSpacing/>
        <w:rPr>
          <w:sz w:val="20"/>
          <w:lang w:val="ru-RU"/>
        </w:rPr>
      </w:pPr>
      <w:r w:rsidRPr="00165ED1">
        <w:rPr>
          <w:sz w:val="20"/>
          <w:lang w:val="ru-RU"/>
        </w:rPr>
        <w:t>1)</w:t>
      </w:r>
      <w:r w:rsidRPr="00165ED1">
        <w:rPr>
          <w:sz w:val="20"/>
          <w:lang w:val="ru-RU"/>
        </w:rPr>
        <w:tab/>
        <w:t>0,3 процента в отношении земельных участков:</w:t>
      </w:r>
    </w:p>
    <w:p w:rsidR="00165ED1" w:rsidRPr="00165ED1" w:rsidRDefault="00165ED1" w:rsidP="00165ED1">
      <w:pPr>
        <w:pStyle w:val="6"/>
        <w:spacing w:line="283" w:lineRule="auto"/>
        <w:contextualSpacing/>
        <w:rPr>
          <w:sz w:val="20"/>
          <w:lang w:val="ru-RU"/>
        </w:rPr>
      </w:pPr>
      <w:bookmarkStart w:id="0" w:name="_GoBack"/>
      <w:bookmarkEnd w:id="0"/>
      <w:r w:rsidRPr="00165ED1">
        <w:rPr>
          <w:sz w:val="20"/>
          <w:lang w:val="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65ED1" w:rsidRPr="00165ED1" w:rsidRDefault="00165ED1" w:rsidP="00165ED1">
      <w:pPr>
        <w:pStyle w:val="6"/>
        <w:spacing w:line="283" w:lineRule="auto"/>
        <w:contextualSpacing/>
        <w:rPr>
          <w:sz w:val="20"/>
          <w:lang w:val="ru-RU"/>
        </w:rPr>
      </w:pPr>
      <w:proofErr w:type="gramStart"/>
      <w:r w:rsidRPr="00165ED1">
        <w:rPr>
          <w:sz w:val="20"/>
          <w:lang w:val="ru-RU"/>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165ED1" w:rsidRPr="00165ED1" w:rsidRDefault="00165ED1" w:rsidP="00165ED1">
      <w:pPr>
        <w:pStyle w:val="6"/>
        <w:spacing w:line="283" w:lineRule="auto"/>
        <w:contextualSpacing/>
        <w:rPr>
          <w:sz w:val="20"/>
          <w:lang w:val="ru-RU"/>
        </w:rPr>
      </w:pPr>
      <w:r w:rsidRPr="00165ED1">
        <w:rPr>
          <w:sz w:val="20"/>
          <w:lang w:val="ru-RU"/>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65ED1" w:rsidRPr="00165ED1" w:rsidRDefault="00165ED1" w:rsidP="00165ED1">
      <w:pPr>
        <w:pStyle w:val="6"/>
        <w:spacing w:line="283" w:lineRule="auto"/>
        <w:contextualSpacing/>
        <w:rPr>
          <w:sz w:val="20"/>
          <w:lang w:val="ru-RU"/>
        </w:rPr>
      </w:pPr>
      <w:r w:rsidRPr="00165ED1">
        <w:rPr>
          <w:sz w:val="20"/>
          <w:lang w:val="ru-RU"/>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65ED1" w:rsidRPr="00165ED1" w:rsidRDefault="00165ED1" w:rsidP="00165ED1">
      <w:pPr>
        <w:pStyle w:val="6"/>
        <w:spacing w:line="283" w:lineRule="auto"/>
        <w:contextualSpacing/>
        <w:rPr>
          <w:sz w:val="20"/>
          <w:lang w:val="ru-RU"/>
        </w:rPr>
      </w:pPr>
      <w:r w:rsidRPr="00165ED1">
        <w:rPr>
          <w:sz w:val="20"/>
          <w:lang w:val="ru-RU"/>
        </w:rPr>
        <w:t>2) 1,5 процента в отношении прочих земельных участков.</w:t>
      </w:r>
    </w:p>
    <w:p w:rsidR="00165ED1" w:rsidRPr="00165ED1" w:rsidRDefault="00165ED1" w:rsidP="00165ED1">
      <w:pPr>
        <w:pStyle w:val="6"/>
        <w:spacing w:line="283" w:lineRule="auto"/>
        <w:contextualSpacing/>
        <w:rPr>
          <w:sz w:val="20"/>
          <w:lang w:val="ru-RU"/>
        </w:rPr>
      </w:pPr>
      <w:r w:rsidRPr="00165ED1">
        <w:rPr>
          <w:sz w:val="20"/>
          <w:lang w:val="ru-RU"/>
        </w:rPr>
        <w:t>Пунктом 2 Решения Совета депутатов Печенгского муниципального округа Мурманской области от 23.10.2020 № 39 «Об установлении земельного налога на территории муниципального образования Печенгский  муниципальный округ» (далее – Решение) налоговые ставки по земельному налогу установлены в следующих размерах:</w:t>
      </w:r>
    </w:p>
    <w:p w:rsidR="00165ED1" w:rsidRPr="00165ED1" w:rsidRDefault="00165ED1" w:rsidP="00165ED1">
      <w:pPr>
        <w:pStyle w:val="6"/>
        <w:spacing w:line="283" w:lineRule="auto"/>
        <w:contextualSpacing/>
        <w:rPr>
          <w:sz w:val="20"/>
          <w:lang w:val="ru-RU"/>
        </w:rPr>
      </w:pPr>
      <w:r w:rsidRPr="00165ED1">
        <w:rPr>
          <w:sz w:val="20"/>
          <w:lang w:val="ru-RU"/>
        </w:rPr>
        <w:t>1) 0,3 процента в отношении земельных участков:</w:t>
      </w:r>
    </w:p>
    <w:p w:rsidR="00165ED1" w:rsidRPr="00165ED1" w:rsidRDefault="00165ED1" w:rsidP="00165ED1">
      <w:pPr>
        <w:pStyle w:val="6"/>
        <w:spacing w:line="283" w:lineRule="auto"/>
        <w:contextualSpacing/>
        <w:rPr>
          <w:sz w:val="20"/>
          <w:lang w:val="ru-RU"/>
        </w:rPr>
      </w:pPr>
      <w:r w:rsidRPr="00165ED1">
        <w:rPr>
          <w:sz w:val="20"/>
          <w:lang w:val="ru-RU"/>
        </w:rPr>
        <w:lastRenderedPageBreak/>
        <w:t>- отнесенных к землям сельскохозяйственного назначения или к землям в составе зон сельскохозяйственного использования в муниципальном образовании Печенгский муниципальный округ и используемых для сельскохозяйственного производства;</w:t>
      </w:r>
    </w:p>
    <w:p w:rsidR="00165ED1" w:rsidRPr="00165ED1" w:rsidRDefault="00165ED1" w:rsidP="00165ED1">
      <w:pPr>
        <w:pStyle w:val="6"/>
        <w:spacing w:line="283" w:lineRule="auto"/>
        <w:contextualSpacing/>
        <w:rPr>
          <w:sz w:val="20"/>
          <w:lang w:val="ru-RU"/>
        </w:rPr>
      </w:pPr>
      <w:proofErr w:type="gramStart"/>
      <w:r w:rsidRPr="00165ED1">
        <w:rPr>
          <w:sz w:val="20"/>
          <w:lang w:val="ru-RU"/>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165ED1" w:rsidRPr="00165ED1" w:rsidRDefault="00165ED1" w:rsidP="00165ED1">
      <w:pPr>
        <w:pStyle w:val="6"/>
        <w:spacing w:line="283" w:lineRule="auto"/>
        <w:contextualSpacing/>
        <w:rPr>
          <w:sz w:val="20"/>
          <w:lang w:val="ru-RU"/>
        </w:rPr>
      </w:pPr>
      <w:r w:rsidRPr="00165ED1">
        <w:rPr>
          <w:sz w:val="20"/>
          <w:lang w:val="ru-RU"/>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65ED1" w:rsidRPr="00165ED1" w:rsidRDefault="00165ED1" w:rsidP="00165ED1">
      <w:pPr>
        <w:pStyle w:val="6"/>
        <w:spacing w:line="283" w:lineRule="auto"/>
        <w:contextualSpacing/>
        <w:rPr>
          <w:sz w:val="20"/>
          <w:lang w:val="ru-RU"/>
        </w:rPr>
      </w:pPr>
      <w:r w:rsidRPr="00165ED1">
        <w:rPr>
          <w:sz w:val="20"/>
          <w:lang w:val="ru-RU"/>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65ED1" w:rsidRPr="00165ED1" w:rsidRDefault="00165ED1" w:rsidP="00165ED1">
      <w:pPr>
        <w:pStyle w:val="6"/>
        <w:spacing w:line="283" w:lineRule="auto"/>
        <w:contextualSpacing/>
        <w:rPr>
          <w:sz w:val="20"/>
          <w:lang w:val="ru-RU"/>
        </w:rPr>
      </w:pPr>
      <w:r w:rsidRPr="00165ED1">
        <w:rPr>
          <w:sz w:val="20"/>
          <w:lang w:val="ru-RU"/>
        </w:rPr>
        <w:t>2) 1,5 процента в отношении прочих земельных участков.</w:t>
      </w:r>
    </w:p>
    <w:p w:rsidR="00165ED1" w:rsidRPr="00165ED1" w:rsidRDefault="00165ED1" w:rsidP="00165ED1">
      <w:pPr>
        <w:pStyle w:val="6"/>
        <w:spacing w:line="283" w:lineRule="auto"/>
        <w:contextualSpacing/>
        <w:rPr>
          <w:sz w:val="20"/>
          <w:lang w:val="ru-RU"/>
        </w:rPr>
      </w:pPr>
      <w:r w:rsidRPr="00165ED1">
        <w:rPr>
          <w:sz w:val="20"/>
          <w:lang w:val="ru-RU"/>
        </w:rPr>
        <w:t>Таким образом, нормы по налоговым ставкам в вышеуказанном Решении, не в полном объеме соответствуют условиям, установленным пунктом 1 статьи 394 НК РФ.</w:t>
      </w:r>
    </w:p>
    <w:p w:rsidR="00165ED1" w:rsidRPr="00165ED1" w:rsidRDefault="00165ED1" w:rsidP="00165ED1">
      <w:pPr>
        <w:pStyle w:val="6"/>
        <w:spacing w:line="283" w:lineRule="auto"/>
        <w:contextualSpacing/>
        <w:rPr>
          <w:sz w:val="20"/>
          <w:lang w:val="ru-RU"/>
        </w:rPr>
      </w:pPr>
      <w:r w:rsidRPr="00165ED1">
        <w:rPr>
          <w:sz w:val="20"/>
          <w:lang w:val="ru-RU"/>
        </w:rPr>
        <w:t>Пунктом 3 части 10 статьи 35 Федерального закона от 06.10.2003 № 131-ФЗ «Об общих принципах организации местного самоуправления в Российской Федерации» определено, что установление, изменение и отмена местных налогов и сборов в соответствии с законодательством Российской федерации о налогах и сборах относится к исключительной компетенции представительного органа муниципального образования. Следовательно, настоящий проект решения не противоречит действующему федеральному и региональному законодательству.</w:t>
      </w:r>
    </w:p>
    <w:p w:rsidR="00E50917" w:rsidRPr="00E50917" w:rsidRDefault="00165ED1" w:rsidP="00165ED1">
      <w:pPr>
        <w:pStyle w:val="6"/>
        <w:spacing w:before="0" w:line="283" w:lineRule="auto"/>
        <w:contextualSpacing/>
        <w:rPr>
          <w:sz w:val="20"/>
        </w:rPr>
      </w:pPr>
      <w:r w:rsidRPr="00165ED1">
        <w:rPr>
          <w:sz w:val="20"/>
          <w:lang w:val="ru-RU"/>
        </w:rPr>
        <w:t>Контрольно-счетная палата Печенгского муниципального округа считает возможным принятие проекта решения Совета депутатов Печенгского муниципального округа Мурманской области «О внесении изменений в решение Совета депутатов Печенгского муниципального округа от 23.10.2020 № 39 «Об установлении земельного налога на территории муниципального образования Печенгский муниципальный округ Мурманской области».</w:t>
      </w:r>
    </w:p>
    <w:sectPr w:rsidR="00E50917" w:rsidRPr="00E50917"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D" w:rsidRDefault="00C665FD" w:rsidP="00E53E65">
      <w:pPr>
        <w:spacing w:after="0" w:line="240" w:lineRule="auto"/>
      </w:pPr>
      <w:r>
        <w:separator/>
      </w:r>
    </w:p>
  </w:endnote>
  <w:endnote w:type="continuationSeparator" w:id="0">
    <w:p w:rsidR="00C665FD" w:rsidRDefault="00C665FD" w:rsidP="00E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C665FD" w:rsidRDefault="00C665FD">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165ED1">
          <w:rPr>
            <w:rFonts w:ascii="Times New Roman" w:hAnsi="Times New Roman" w:cs="Times New Roman"/>
            <w:noProof/>
            <w:sz w:val="20"/>
            <w:szCs w:val="20"/>
          </w:rPr>
          <w:t>2</w:t>
        </w:r>
        <w:r w:rsidRPr="003C0188">
          <w:rPr>
            <w:rFonts w:ascii="Times New Roman" w:hAnsi="Times New Roman" w:cs="Times New Roman"/>
            <w:sz w:val="20"/>
            <w:szCs w:val="20"/>
          </w:rPr>
          <w:fldChar w:fldCharType="end"/>
        </w:r>
      </w:p>
    </w:sdtContent>
  </w:sdt>
  <w:p w:rsidR="00C665FD" w:rsidRDefault="00C665F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D" w:rsidRDefault="00C665FD" w:rsidP="00E53E65">
      <w:pPr>
        <w:spacing w:after="0" w:line="240" w:lineRule="auto"/>
      </w:pPr>
      <w:r>
        <w:separator/>
      </w:r>
    </w:p>
  </w:footnote>
  <w:footnote w:type="continuationSeparator" w:id="0">
    <w:p w:rsidR="00C665FD" w:rsidRDefault="00C665FD" w:rsidP="00E53E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F0264"/>
    <w:rsid w:val="000F3AA7"/>
    <w:rsid w:val="000F51C4"/>
    <w:rsid w:val="000F5298"/>
    <w:rsid w:val="000F5B3B"/>
    <w:rsid w:val="000F7A8A"/>
    <w:rsid w:val="00100F3C"/>
    <w:rsid w:val="00103D99"/>
    <w:rsid w:val="0011371F"/>
    <w:rsid w:val="00115521"/>
    <w:rsid w:val="00116C4B"/>
    <w:rsid w:val="00123938"/>
    <w:rsid w:val="0012562F"/>
    <w:rsid w:val="00125774"/>
    <w:rsid w:val="00127161"/>
    <w:rsid w:val="00127A31"/>
    <w:rsid w:val="001303F8"/>
    <w:rsid w:val="00137308"/>
    <w:rsid w:val="00142FAF"/>
    <w:rsid w:val="001432C8"/>
    <w:rsid w:val="00157AAD"/>
    <w:rsid w:val="001601C5"/>
    <w:rsid w:val="0016505D"/>
    <w:rsid w:val="00165ED1"/>
    <w:rsid w:val="001668ED"/>
    <w:rsid w:val="00167414"/>
    <w:rsid w:val="001674BB"/>
    <w:rsid w:val="00174902"/>
    <w:rsid w:val="00174BC2"/>
    <w:rsid w:val="00174C68"/>
    <w:rsid w:val="001762EB"/>
    <w:rsid w:val="001830DF"/>
    <w:rsid w:val="00187E7C"/>
    <w:rsid w:val="0019542A"/>
    <w:rsid w:val="001A4106"/>
    <w:rsid w:val="001A4C67"/>
    <w:rsid w:val="001B7B75"/>
    <w:rsid w:val="001C169C"/>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7C89"/>
    <w:rsid w:val="00290A9E"/>
    <w:rsid w:val="002A02B5"/>
    <w:rsid w:val="002A2360"/>
    <w:rsid w:val="002A3B9C"/>
    <w:rsid w:val="002A45CE"/>
    <w:rsid w:val="002A5AD3"/>
    <w:rsid w:val="002B038B"/>
    <w:rsid w:val="002B0410"/>
    <w:rsid w:val="002B17B9"/>
    <w:rsid w:val="002B1E1A"/>
    <w:rsid w:val="002B3EB6"/>
    <w:rsid w:val="002B6E27"/>
    <w:rsid w:val="002C1CF4"/>
    <w:rsid w:val="002C2551"/>
    <w:rsid w:val="002C36AD"/>
    <w:rsid w:val="002C4BCF"/>
    <w:rsid w:val="002C63BE"/>
    <w:rsid w:val="002D229E"/>
    <w:rsid w:val="002D55E6"/>
    <w:rsid w:val="002E1AC0"/>
    <w:rsid w:val="002E53F8"/>
    <w:rsid w:val="002E782F"/>
    <w:rsid w:val="002F5699"/>
    <w:rsid w:val="002F65FB"/>
    <w:rsid w:val="002F68F6"/>
    <w:rsid w:val="0030233C"/>
    <w:rsid w:val="00305770"/>
    <w:rsid w:val="0031143C"/>
    <w:rsid w:val="00315023"/>
    <w:rsid w:val="003175C6"/>
    <w:rsid w:val="00317C99"/>
    <w:rsid w:val="00321EC9"/>
    <w:rsid w:val="0032549F"/>
    <w:rsid w:val="003255E4"/>
    <w:rsid w:val="00327488"/>
    <w:rsid w:val="00331E94"/>
    <w:rsid w:val="00334136"/>
    <w:rsid w:val="00336482"/>
    <w:rsid w:val="003369D1"/>
    <w:rsid w:val="00346C3A"/>
    <w:rsid w:val="00351019"/>
    <w:rsid w:val="00351A8F"/>
    <w:rsid w:val="003537DE"/>
    <w:rsid w:val="00357CEF"/>
    <w:rsid w:val="00361DAC"/>
    <w:rsid w:val="0036489C"/>
    <w:rsid w:val="0037137E"/>
    <w:rsid w:val="003733A5"/>
    <w:rsid w:val="00373D66"/>
    <w:rsid w:val="00374ACE"/>
    <w:rsid w:val="00381080"/>
    <w:rsid w:val="00382BF4"/>
    <w:rsid w:val="0038494F"/>
    <w:rsid w:val="003851B4"/>
    <w:rsid w:val="00386825"/>
    <w:rsid w:val="003907D0"/>
    <w:rsid w:val="003945A3"/>
    <w:rsid w:val="003962D0"/>
    <w:rsid w:val="003A3C4A"/>
    <w:rsid w:val="003A435E"/>
    <w:rsid w:val="003A7DCA"/>
    <w:rsid w:val="003C0188"/>
    <w:rsid w:val="003C0604"/>
    <w:rsid w:val="003C17E7"/>
    <w:rsid w:val="003C3C23"/>
    <w:rsid w:val="003C3F4A"/>
    <w:rsid w:val="003C5E37"/>
    <w:rsid w:val="003D1F4C"/>
    <w:rsid w:val="003D417F"/>
    <w:rsid w:val="003D613A"/>
    <w:rsid w:val="003E351A"/>
    <w:rsid w:val="003E3D46"/>
    <w:rsid w:val="003E45F0"/>
    <w:rsid w:val="003E5238"/>
    <w:rsid w:val="003E679D"/>
    <w:rsid w:val="003F18A3"/>
    <w:rsid w:val="003F2BBC"/>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311C"/>
    <w:rsid w:val="00596AE8"/>
    <w:rsid w:val="005972FB"/>
    <w:rsid w:val="005A0AE6"/>
    <w:rsid w:val="005A671B"/>
    <w:rsid w:val="005A7B6E"/>
    <w:rsid w:val="005B36E6"/>
    <w:rsid w:val="005C08BF"/>
    <w:rsid w:val="005C113B"/>
    <w:rsid w:val="005C5290"/>
    <w:rsid w:val="005C7ADC"/>
    <w:rsid w:val="005D15A6"/>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BBD"/>
    <w:rsid w:val="006E42DF"/>
    <w:rsid w:val="006E5866"/>
    <w:rsid w:val="006F001D"/>
    <w:rsid w:val="006F2575"/>
    <w:rsid w:val="006F27A5"/>
    <w:rsid w:val="006F2929"/>
    <w:rsid w:val="006F7966"/>
    <w:rsid w:val="006F7EB0"/>
    <w:rsid w:val="00704F6F"/>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869"/>
    <w:rsid w:val="00782B07"/>
    <w:rsid w:val="007845EE"/>
    <w:rsid w:val="00787357"/>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11FD"/>
    <w:rsid w:val="008012A7"/>
    <w:rsid w:val="008101D2"/>
    <w:rsid w:val="008128D8"/>
    <w:rsid w:val="00823064"/>
    <w:rsid w:val="008248FD"/>
    <w:rsid w:val="00826DAE"/>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C1B4D"/>
    <w:rsid w:val="008C2760"/>
    <w:rsid w:val="008C7609"/>
    <w:rsid w:val="008D0B82"/>
    <w:rsid w:val="008D43B7"/>
    <w:rsid w:val="008D5E0F"/>
    <w:rsid w:val="008E092E"/>
    <w:rsid w:val="008E320F"/>
    <w:rsid w:val="008E32E5"/>
    <w:rsid w:val="008E65C5"/>
    <w:rsid w:val="008F5C8E"/>
    <w:rsid w:val="009000A3"/>
    <w:rsid w:val="00900A09"/>
    <w:rsid w:val="009055A9"/>
    <w:rsid w:val="00905E62"/>
    <w:rsid w:val="00907EFD"/>
    <w:rsid w:val="009125B9"/>
    <w:rsid w:val="00916FEF"/>
    <w:rsid w:val="00920B93"/>
    <w:rsid w:val="009215D2"/>
    <w:rsid w:val="00921F2A"/>
    <w:rsid w:val="00922F4D"/>
    <w:rsid w:val="0092444C"/>
    <w:rsid w:val="00933BEF"/>
    <w:rsid w:val="00942F04"/>
    <w:rsid w:val="00943BC7"/>
    <w:rsid w:val="00947CC5"/>
    <w:rsid w:val="00952BE4"/>
    <w:rsid w:val="00954109"/>
    <w:rsid w:val="00957D0B"/>
    <w:rsid w:val="00960511"/>
    <w:rsid w:val="00962F4B"/>
    <w:rsid w:val="00971DF7"/>
    <w:rsid w:val="0097330E"/>
    <w:rsid w:val="00974799"/>
    <w:rsid w:val="0098049C"/>
    <w:rsid w:val="00981E37"/>
    <w:rsid w:val="00982421"/>
    <w:rsid w:val="009911FA"/>
    <w:rsid w:val="009A5700"/>
    <w:rsid w:val="009B0146"/>
    <w:rsid w:val="009B02B6"/>
    <w:rsid w:val="009B09CA"/>
    <w:rsid w:val="009D32BC"/>
    <w:rsid w:val="009D5CB1"/>
    <w:rsid w:val="009D7867"/>
    <w:rsid w:val="009D7F2F"/>
    <w:rsid w:val="009E4449"/>
    <w:rsid w:val="009E55EC"/>
    <w:rsid w:val="009E6896"/>
    <w:rsid w:val="009F684F"/>
    <w:rsid w:val="009F74C9"/>
    <w:rsid w:val="00A01340"/>
    <w:rsid w:val="00A0366E"/>
    <w:rsid w:val="00A13FB9"/>
    <w:rsid w:val="00A16305"/>
    <w:rsid w:val="00A22345"/>
    <w:rsid w:val="00A236D2"/>
    <w:rsid w:val="00A24255"/>
    <w:rsid w:val="00A257A6"/>
    <w:rsid w:val="00A25BC6"/>
    <w:rsid w:val="00A35B15"/>
    <w:rsid w:val="00A36EEF"/>
    <w:rsid w:val="00A41D4C"/>
    <w:rsid w:val="00A47C00"/>
    <w:rsid w:val="00A52638"/>
    <w:rsid w:val="00A6039F"/>
    <w:rsid w:val="00A6099E"/>
    <w:rsid w:val="00A61AC8"/>
    <w:rsid w:val="00A62FB6"/>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C0587"/>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1080A"/>
    <w:rsid w:val="00B12633"/>
    <w:rsid w:val="00B15072"/>
    <w:rsid w:val="00B17959"/>
    <w:rsid w:val="00B26A4F"/>
    <w:rsid w:val="00B30272"/>
    <w:rsid w:val="00B32DA6"/>
    <w:rsid w:val="00B47695"/>
    <w:rsid w:val="00B56C57"/>
    <w:rsid w:val="00B56C63"/>
    <w:rsid w:val="00B56E26"/>
    <w:rsid w:val="00B603A4"/>
    <w:rsid w:val="00B6776D"/>
    <w:rsid w:val="00B76356"/>
    <w:rsid w:val="00B77FCD"/>
    <w:rsid w:val="00B858AB"/>
    <w:rsid w:val="00B97553"/>
    <w:rsid w:val="00B977EF"/>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2D9D"/>
    <w:rsid w:val="00C30AF1"/>
    <w:rsid w:val="00C33900"/>
    <w:rsid w:val="00C35A8C"/>
    <w:rsid w:val="00C36477"/>
    <w:rsid w:val="00C37A11"/>
    <w:rsid w:val="00C40331"/>
    <w:rsid w:val="00C420F3"/>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2ECB"/>
    <w:rsid w:val="00C95B85"/>
    <w:rsid w:val="00C9704E"/>
    <w:rsid w:val="00C97B45"/>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316AF"/>
    <w:rsid w:val="00E3336D"/>
    <w:rsid w:val="00E33869"/>
    <w:rsid w:val="00E45954"/>
    <w:rsid w:val="00E45B71"/>
    <w:rsid w:val="00E45C45"/>
    <w:rsid w:val="00E50917"/>
    <w:rsid w:val="00E50A7A"/>
    <w:rsid w:val="00E50E2F"/>
    <w:rsid w:val="00E51442"/>
    <w:rsid w:val="00E53E65"/>
    <w:rsid w:val="00E63C51"/>
    <w:rsid w:val="00E64446"/>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4721"/>
    <w:rsid w:val="00EF4D37"/>
    <w:rsid w:val="00F06C7F"/>
    <w:rsid w:val="00F10C08"/>
    <w:rsid w:val="00F142C0"/>
    <w:rsid w:val="00F2105F"/>
    <w:rsid w:val="00F2280D"/>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330C"/>
    <w:rsid w:val="00F664D3"/>
    <w:rsid w:val="00F6686A"/>
    <w:rsid w:val="00F66F34"/>
    <w:rsid w:val="00F727FB"/>
    <w:rsid w:val="00F73D93"/>
    <w:rsid w:val="00F75FF7"/>
    <w:rsid w:val="00F77652"/>
    <w:rsid w:val="00F82066"/>
    <w:rsid w:val="00F824C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17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5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1B4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ind w:left="720"/>
      <w:contextualSpacing/>
    </w:pPr>
  </w:style>
  <w:style w:type="paragraph" w:styleId="a4">
    <w:name w:val="Balloon Text"/>
    <w:basedOn w:val="a"/>
    <w:link w:val="a5"/>
    <w:uiPriority w:val="99"/>
    <w:semiHidden/>
    <w:unhideWhenUsed/>
    <w:rsid w:val="00256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rPr>
  </w:style>
  <w:style w:type="paragraph" w:styleId="a8">
    <w:name w:val="Title"/>
    <w:basedOn w:val="a"/>
    <w:link w:val="a9"/>
    <w:qFormat/>
    <w:rsid w:val="009000A3"/>
    <w:pPr>
      <w:spacing w:after="0" w:line="360" w:lineRule="auto"/>
      <w:ind w:firstLine="720"/>
      <w:jc w:val="center"/>
    </w:pPr>
    <w:rPr>
      <w:rFonts w:ascii="Times New Roman" w:eastAsia="Times New Roman" w:hAnsi="Times New Roman" w:cs="Times New Roman"/>
      <w:b/>
      <w:sz w:val="24"/>
      <w:szCs w:val="26"/>
      <w:lang w:eastAsia="ru-RU"/>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spacing w:after="0" w:line="240" w:lineRule="auto"/>
      <w:ind w:left="283" w:hanging="283"/>
    </w:pPr>
    <w:rPr>
      <w:rFonts w:ascii="Times New Roman" w:eastAsia="Times New Roman" w:hAnsi="Times New Roman" w:cs="Times New Roman"/>
      <w:sz w:val="28"/>
      <w:szCs w:val="26"/>
      <w:lang w:eastAsia="ru-RU"/>
    </w:rPr>
  </w:style>
  <w:style w:type="paragraph" w:customStyle="1" w:styleId="ab">
    <w:name w:val="Основ"/>
    <w:basedOn w:val="a"/>
    <w:rsid w:val="00E53E65"/>
    <w:pPr>
      <w:widowControl w:val="0"/>
      <w:spacing w:after="0" w:line="240" w:lineRule="auto"/>
    </w:pPr>
    <w:rPr>
      <w:rFonts w:ascii="Times New Roman" w:eastAsia="Times New Roman" w:hAnsi="Times New Roman" w:cs="Times New Roman"/>
      <w:b/>
      <w:sz w:val="24"/>
      <w:szCs w:val="26"/>
      <w:lang w:val="en-US" w:eastAsia="ru-RU"/>
    </w:rPr>
  </w:style>
  <w:style w:type="paragraph" w:styleId="ac">
    <w:name w:val="Body Text"/>
    <w:basedOn w:val="a"/>
    <w:link w:val="ad"/>
    <w:semiHidden/>
    <w:rsid w:val="00E53E65"/>
    <w:pPr>
      <w:widowControl w:val="0"/>
      <w:spacing w:after="0" w:line="240" w:lineRule="auto"/>
      <w:jc w:val="both"/>
    </w:pPr>
    <w:rPr>
      <w:rFonts w:ascii="Times New Roman" w:eastAsia="Times New Roman" w:hAnsi="Times New Roman" w:cs="Times New Roman"/>
      <w:sz w:val="28"/>
      <w:szCs w:val="26"/>
      <w:lang w:eastAsia="ru-RU"/>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pPr>
      <w:spacing w:after="0" w:line="240" w:lineRule="auto"/>
    </w:pPr>
    <w:rPr>
      <w:rFonts w:ascii="Calibri" w:hAnsi="Calibri"/>
      <w:lang w:val="x-none"/>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line="240" w:lineRule="auto"/>
    </w:pPr>
    <w:rPr>
      <w:sz w:val="20"/>
      <w:szCs w:val="20"/>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pPr>
      <w:spacing w:after="0" w:line="240" w:lineRule="auto"/>
    </w:pPr>
    <w:rPr>
      <w:sz w:val="20"/>
      <w:szCs w:val="20"/>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line="240" w:lineRule="exact"/>
    </w:pPr>
    <w:rPr>
      <w:rFonts w:ascii="Verdana" w:eastAsia="Times New Roman" w:hAnsi="Verdana" w:cs="Verdana"/>
      <w:sz w:val="20"/>
      <w:szCs w:val="20"/>
      <w:lang w:val="en-US"/>
    </w:rPr>
  </w:style>
  <w:style w:type="paragraph" w:customStyle="1" w:styleId="afc">
    <w:name w:val="Акт"/>
    <w:basedOn w:val="a"/>
    <w:link w:val="afd"/>
    <w:qFormat/>
    <w:rsid w:val="00A804F9"/>
    <w:pPr>
      <w:suppressAutoHyphens/>
      <w:spacing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F9C6CAAB-0EB0-4EAE-8845-6D77B82B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2024-11-25T10:43:00Z</dcterms:created>
  <dcterms:modified xsi:type="dcterms:W3CDTF">2024-11-25T10:43:00Z</dcterms:modified>
</cp:coreProperties>
</file>