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Информация</w:t>
      </w:r>
    </w:p>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 xml:space="preserve">о результатах </w:t>
      </w:r>
      <w:proofErr w:type="gramStart"/>
      <w:r w:rsidRPr="00704F6F">
        <w:rPr>
          <w:rFonts w:ascii="Times New Roman" w:hAnsi="Times New Roman" w:cs="Times New Roman"/>
          <w:b/>
          <w:sz w:val="20"/>
          <w:szCs w:val="20"/>
        </w:rPr>
        <w:t>экспертизы проекта решения Совета депутатов</w:t>
      </w:r>
      <w:proofErr w:type="gramEnd"/>
      <w:r w:rsidRPr="00704F6F">
        <w:rPr>
          <w:rFonts w:ascii="Times New Roman" w:hAnsi="Times New Roman" w:cs="Times New Roman"/>
          <w:b/>
          <w:sz w:val="20"/>
          <w:szCs w:val="20"/>
        </w:rPr>
        <w:t xml:space="preserve"> Печенгского муниципального округа Мурманской области </w:t>
      </w:r>
      <w:r w:rsidR="00E50917" w:rsidRPr="00E50917">
        <w:rPr>
          <w:rFonts w:ascii="Times New Roman" w:hAnsi="Times New Roman" w:cs="Times New Roman"/>
          <w:b/>
          <w:sz w:val="20"/>
          <w:szCs w:val="20"/>
        </w:rPr>
        <w:t>«О внесении изменений в решение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w:t>
      </w:r>
    </w:p>
    <w:p w:rsidR="002B038B" w:rsidRPr="00704F6F" w:rsidRDefault="002B038B" w:rsidP="00704F6F">
      <w:pPr>
        <w:spacing w:after="0" w:line="283" w:lineRule="auto"/>
        <w:ind w:firstLine="709"/>
        <w:jc w:val="center"/>
        <w:rPr>
          <w:rFonts w:ascii="Times New Roman" w:eastAsia="Times New Roman" w:hAnsi="Times New Roman" w:cs="Times New Roman"/>
          <w:sz w:val="20"/>
          <w:szCs w:val="20"/>
          <w:lang w:eastAsia="ru-RU"/>
        </w:rPr>
      </w:pPr>
    </w:p>
    <w:p w:rsidR="002B038B" w:rsidRPr="00704F6F" w:rsidRDefault="002B038B" w:rsidP="00704F6F">
      <w:pPr>
        <w:spacing w:after="0" w:line="283" w:lineRule="auto"/>
        <w:ind w:firstLine="709"/>
        <w:rPr>
          <w:rFonts w:ascii="Times New Roman" w:hAnsi="Times New Roman" w:cs="Times New Roman"/>
          <w:b/>
          <w:sz w:val="20"/>
          <w:szCs w:val="20"/>
        </w:rPr>
      </w:pPr>
      <w:r w:rsidRPr="00704F6F">
        <w:rPr>
          <w:rFonts w:ascii="Times New Roman" w:hAnsi="Times New Roman" w:cs="Times New Roman"/>
          <w:b/>
          <w:sz w:val="20"/>
          <w:szCs w:val="20"/>
        </w:rPr>
        <w:t>Основание для проведения экспертизы:</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Бюджетный кодекс Российской Федерации (далее – БК РФ);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 (далее - решение о бюджетном процессе);</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решение 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Цель проведения экспертизы: </w:t>
      </w:r>
      <w:r w:rsidRPr="00704F6F">
        <w:rPr>
          <w:rFonts w:ascii="Times New Roman" w:hAnsi="Times New Roman" w:cs="Times New Roman"/>
          <w:sz w:val="20"/>
          <w:szCs w:val="20"/>
        </w:rPr>
        <w:t xml:space="preserve">определение обоснованности изменений, вносимых в решение Совета депутатов Печенгского муниципального округа Мурманской области </w:t>
      </w:r>
      <w:r w:rsidR="00E50917" w:rsidRPr="00E50917">
        <w:rPr>
          <w:rFonts w:ascii="Times New Roman" w:hAnsi="Times New Roman" w:cs="Times New Roman"/>
          <w:sz w:val="20"/>
          <w:szCs w:val="20"/>
        </w:rPr>
        <w:t>от 23.10.2020 № 39 «Об установлении земельного налога на территории муниципального образования Печенгский муниципальный округ Мурманской области»</w:t>
      </w:r>
      <w:r w:rsidRPr="00704F6F">
        <w:rPr>
          <w:rFonts w:ascii="Times New Roman" w:hAnsi="Times New Roman" w:cs="Times New Roman"/>
          <w:sz w:val="20"/>
          <w:szCs w:val="20"/>
        </w:rPr>
        <w:t xml:space="preserve"> (далее – решение о </w:t>
      </w:r>
      <w:r w:rsidR="00E50917">
        <w:rPr>
          <w:rFonts w:ascii="Times New Roman" w:hAnsi="Times New Roman" w:cs="Times New Roman"/>
          <w:sz w:val="20"/>
          <w:szCs w:val="20"/>
        </w:rPr>
        <w:t>земельном налоге</w:t>
      </w:r>
      <w:r w:rsidRPr="00704F6F">
        <w:rPr>
          <w:rFonts w:ascii="Times New Roman" w:hAnsi="Times New Roman" w:cs="Times New Roman"/>
          <w:sz w:val="20"/>
          <w:szCs w:val="20"/>
        </w:rPr>
        <w:t xml:space="preserve">). </w:t>
      </w:r>
    </w:p>
    <w:p w:rsidR="002B038B"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Предмет экспертизы: </w:t>
      </w:r>
      <w:r w:rsidRPr="00704F6F">
        <w:rPr>
          <w:rFonts w:ascii="Times New Roman" w:hAnsi="Times New Roman" w:cs="Times New Roman"/>
          <w:sz w:val="20"/>
          <w:szCs w:val="20"/>
        </w:rPr>
        <w:t>проект решения Совета депутатов Печенгского муниципального округа Мурманской области «</w:t>
      </w:r>
      <w:r w:rsidR="00E50917" w:rsidRPr="00E50917">
        <w:rPr>
          <w:rFonts w:ascii="Times New Roman" w:hAnsi="Times New Roman" w:cs="Times New Roman"/>
          <w:sz w:val="20"/>
          <w:szCs w:val="20"/>
        </w:rPr>
        <w:t>«О внесении изменений в решение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w:t>
      </w:r>
      <w:r w:rsidRPr="00704F6F">
        <w:rPr>
          <w:rFonts w:ascii="Times New Roman" w:hAnsi="Times New Roman" w:cs="Times New Roman"/>
          <w:sz w:val="20"/>
          <w:szCs w:val="20"/>
        </w:rPr>
        <w:t xml:space="preserve"> (далее – проект решения), материалы и документы, подготовленные администрацией Печенгского муниципального округа.</w:t>
      </w:r>
    </w:p>
    <w:p w:rsidR="00E50917" w:rsidRPr="00E50917" w:rsidRDefault="00E50917" w:rsidP="00E50917">
      <w:pPr>
        <w:pStyle w:val="6"/>
        <w:spacing w:before="0" w:line="283" w:lineRule="auto"/>
        <w:contextualSpacing/>
        <w:rPr>
          <w:sz w:val="20"/>
          <w:lang w:val="ru-RU"/>
        </w:rPr>
      </w:pPr>
      <w:proofErr w:type="gramStart"/>
      <w:r w:rsidRPr="00E50917">
        <w:rPr>
          <w:sz w:val="20"/>
          <w:lang w:val="ru-RU"/>
        </w:rPr>
        <w:t>Согласно статье 387 Налогового кодекса Российской Федерации (далее – НК РФ) земельный налог устанавливается НК РФ и нормативными правовыми актами представите</w:t>
      </w:r>
      <w:bookmarkStart w:id="0" w:name="_GoBack"/>
      <w:bookmarkEnd w:id="0"/>
      <w:r w:rsidRPr="00E50917">
        <w:rPr>
          <w:sz w:val="20"/>
          <w:lang w:val="ru-RU"/>
        </w:rPr>
        <w:t>льных органов муниципальных образований,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roofErr w:type="gramEnd"/>
      <w:r w:rsidRPr="00E50917">
        <w:rPr>
          <w:sz w:val="20"/>
          <w:lang w:val="ru-RU"/>
        </w:rPr>
        <w:t xml:space="preserve"> Устанавливая налог, представительные органы муниципальных образований определяют налоговые ставки в пределах, установленных статьей 394 НК РФ. </w:t>
      </w:r>
    </w:p>
    <w:p w:rsidR="00E50917" w:rsidRPr="00E50917" w:rsidRDefault="00E50917" w:rsidP="00E50917">
      <w:pPr>
        <w:pStyle w:val="6"/>
        <w:spacing w:before="0" w:line="283" w:lineRule="auto"/>
        <w:rPr>
          <w:sz w:val="20"/>
          <w:lang w:val="ru-RU"/>
        </w:rPr>
      </w:pPr>
      <w:r w:rsidRPr="00E50917">
        <w:rPr>
          <w:sz w:val="20"/>
          <w:lang w:val="ru-RU"/>
        </w:rPr>
        <w:t xml:space="preserve">Предлагаемый проект решения подготовлен в соответствии с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w:t>
      </w:r>
      <w:proofErr w:type="gramStart"/>
      <w:r w:rsidRPr="00E50917">
        <w:rPr>
          <w:sz w:val="20"/>
          <w:lang w:val="ru-RU"/>
        </w:rPr>
        <w:t>утратившими</w:t>
      </w:r>
      <w:proofErr w:type="gramEnd"/>
      <w:r w:rsidRPr="00E50917">
        <w:rPr>
          <w:sz w:val="20"/>
          <w:lang w:val="ru-RU"/>
        </w:rPr>
        <w:t xml:space="preserve"> силу отдельных положений законодательных актов Российской Федерации» </w:t>
      </w:r>
      <w:r w:rsidRPr="00E50917">
        <w:rPr>
          <w:sz w:val="20"/>
        </w:rPr>
        <w:t>(далее – Федеральный закон № 176-ФЗ)</w:t>
      </w:r>
      <w:r w:rsidRPr="00E50917">
        <w:rPr>
          <w:sz w:val="20"/>
          <w:lang w:val="ru-RU"/>
        </w:rPr>
        <w:t>.</w:t>
      </w:r>
    </w:p>
    <w:p w:rsidR="00E50917" w:rsidRPr="00E50917" w:rsidRDefault="00E50917" w:rsidP="00E50917">
      <w:pPr>
        <w:pStyle w:val="6"/>
        <w:spacing w:before="0" w:line="283" w:lineRule="auto"/>
        <w:rPr>
          <w:sz w:val="20"/>
          <w:lang w:val="ru-RU"/>
        </w:rPr>
      </w:pPr>
      <w:r w:rsidRPr="00E50917">
        <w:rPr>
          <w:sz w:val="20"/>
          <w:lang w:val="ru-RU"/>
        </w:rPr>
        <w:t>Подпунктом 80 статьи 2 Федерального закона № 176-ФЗ предусмотрены изменения предельных ставок по земельному налогу с 0,3% до 1,5% в части земельных участков кадастровой стоимостью более 300 млн. рублей, а именно:</w:t>
      </w:r>
    </w:p>
    <w:p w:rsidR="00E50917" w:rsidRPr="00E50917" w:rsidRDefault="00E50917" w:rsidP="00E50917">
      <w:pPr>
        <w:pStyle w:val="6"/>
        <w:spacing w:before="0" w:line="283" w:lineRule="auto"/>
        <w:rPr>
          <w:sz w:val="20"/>
          <w:lang w:val="ru-RU"/>
        </w:rPr>
      </w:pPr>
      <w:r w:rsidRPr="00E50917">
        <w:rPr>
          <w:sz w:val="20"/>
          <w:lang w:val="ru-RU"/>
        </w:rPr>
        <w:t xml:space="preserve">- </w:t>
      </w:r>
      <w:proofErr w:type="gramStart"/>
      <w:r w:rsidRPr="00E50917">
        <w:rPr>
          <w:sz w:val="20"/>
          <w:lang w:val="ru-RU"/>
        </w:rPr>
        <w:t>занятых</w:t>
      </w:r>
      <w:proofErr w:type="gramEnd"/>
      <w:r w:rsidRPr="00E50917">
        <w:rPr>
          <w:sz w:val="20"/>
          <w:lang w:val="ru-RU"/>
        </w:rPr>
        <w:t xml:space="preserve"> жилищным фондом и (или) объектами инженерной инфраструктурой жилищно-коммунального комплекса;</w:t>
      </w:r>
    </w:p>
    <w:p w:rsidR="00E50917" w:rsidRPr="00E50917" w:rsidRDefault="00E50917" w:rsidP="00E50917">
      <w:pPr>
        <w:pStyle w:val="6"/>
        <w:spacing w:before="0" w:line="283" w:lineRule="auto"/>
        <w:rPr>
          <w:sz w:val="20"/>
          <w:lang w:val="ru-RU"/>
        </w:rPr>
      </w:pPr>
      <w:r w:rsidRPr="00E50917">
        <w:rPr>
          <w:sz w:val="20"/>
          <w:lang w:val="ru-RU"/>
        </w:rPr>
        <w:t xml:space="preserve">- </w:t>
      </w:r>
      <w:proofErr w:type="gramStart"/>
      <w:r w:rsidRPr="00E50917">
        <w:rPr>
          <w:sz w:val="20"/>
          <w:lang w:val="ru-RU"/>
        </w:rPr>
        <w:t>приобретенных</w:t>
      </w:r>
      <w:proofErr w:type="gramEnd"/>
      <w:r w:rsidRPr="00E50917">
        <w:rPr>
          <w:sz w:val="20"/>
          <w:lang w:val="ru-RU"/>
        </w:rPr>
        <w:t xml:space="preserve"> для жилищного строительства;</w:t>
      </w:r>
    </w:p>
    <w:p w:rsidR="00E50917" w:rsidRPr="00E50917" w:rsidRDefault="00E50917" w:rsidP="00E50917">
      <w:pPr>
        <w:pStyle w:val="6"/>
        <w:spacing w:before="0" w:line="283" w:lineRule="auto"/>
        <w:rPr>
          <w:sz w:val="20"/>
          <w:lang w:val="ru-RU"/>
        </w:rPr>
      </w:pPr>
      <w:r w:rsidRPr="00E50917">
        <w:rPr>
          <w:sz w:val="20"/>
          <w:lang w:val="ru-RU"/>
        </w:rPr>
        <w:t>- не используемых в предпринимательской деятельности, приобретенных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0917" w:rsidRPr="00E50917" w:rsidRDefault="00E50917" w:rsidP="00E50917">
      <w:pPr>
        <w:pStyle w:val="6"/>
        <w:spacing w:before="0" w:line="283" w:lineRule="auto"/>
        <w:rPr>
          <w:sz w:val="20"/>
          <w:lang w:val="ru-RU"/>
        </w:rPr>
      </w:pPr>
      <w:r w:rsidRPr="00E50917">
        <w:rPr>
          <w:sz w:val="20"/>
          <w:lang w:val="ru-RU"/>
        </w:rPr>
        <w:t xml:space="preserve">В соответствии с Федеральным законом № 176-ФЗ вышеуказанные изменения вступают в силу с 01.01.2025 года. </w:t>
      </w:r>
    </w:p>
    <w:p w:rsidR="00E50917" w:rsidRPr="00E50917" w:rsidRDefault="00E50917" w:rsidP="00E50917">
      <w:pPr>
        <w:pStyle w:val="6"/>
        <w:spacing w:before="0" w:line="283" w:lineRule="auto"/>
        <w:rPr>
          <w:sz w:val="20"/>
          <w:lang w:val="ru-RU"/>
        </w:rPr>
      </w:pPr>
      <w:r w:rsidRPr="00E50917">
        <w:rPr>
          <w:sz w:val="20"/>
          <w:lang w:val="ru-RU"/>
        </w:rPr>
        <w:t xml:space="preserve">Контрольно-счетная палата Печенгского муниципального округа считает возможным принятие проекта решения </w:t>
      </w:r>
      <w:r w:rsidRPr="00E50917">
        <w:rPr>
          <w:sz w:val="20"/>
        </w:rPr>
        <w:t>Совета депутатов Печенгского муниципального округа Мурманской области «О внесении изменений в решение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w:t>
      </w:r>
      <w:r w:rsidRPr="00E50917">
        <w:rPr>
          <w:sz w:val="20"/>
          <w:lang w:val="ru-RU"/>
        </w:rPr>
        <w:t>.</w:t>
      </w:r>
    </w:p>
    <w:p w:rsidR="00E50917" w:rsidRPr="00E50917" w:rsidRDefault="00E50917" w:rsidP="00704F6F">
      <w:pPr>
        <w:spacing w:after="0" w:line="283" w:lineRule="auto"/>
        <w:ind w:firstLine="709"/>
        <w:jc w:val="both"/>
        <w:rPr>
          <w:rFonts w:ascii="Times New Roman" w:hAnsi="Times New Roman" w:cs="Times New Roman"/>
          <w:sz w:val="20"/>
          <w:szCs w:val="20"/>
        </w:rPr>
      </w:pPr>
    </w:p>
    <w:sectPr w:rsidR="00E50917" w:rsidRPr="00E50917" w:rsidSect="00E51442">
      <w:footerReference w:type="default" r:id="rId9"/>
      <w:pgSz w:w="11906" w:h="16838"/>
      <w:pgMar w:top="426"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E50917">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F0264"/>
    <w:rsid w:val="000F3AA7"/>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37308"/>
    <w:rsid w:val="00142FAF"/>
    <w:rsid w:val="001432C8"/>
    <w:rsid w:val="00157AAD"/>
    <w:rsid w:val="001601C5"/>
    <w:rsid w:val="0016505D"/>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6F"/>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917"/>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60F89D2D-8795-4EF2-877E-6DB51566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2024-11-25T10:42:00Z</dcterms:created>
  <dcterms:modified xsi:type="dcterms:W3CDTF">2024-11-25T10:42:00Z</dcterms:modified>
</cp:coreProperties>
</file>