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7E" w:rsidRDefault="0025767E">
      <w:pPr>
        <w:widowControl w:val="0"/>
        <w:jc w:val="both"/>
        <w:rPr>
          <w:b/>
          <w:sz w:val="24"/>
          <w:szCs w:val="24"/>
        </w:rPr>
      </w:pPr>
    </w:p>
    <w:p w:rsidR="0025767E" w:rsidRDefault="004E32DF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5767E" w:rsidRDefault="0025767E">
      <w:pPr>
        <w:widowControl w:val="0"/>
        <w:jc w:val="center"/>
        <w:rPr>
          <w:b/>
          <w:sz w:val="28"/>
        </w:rPr>
      </w:pPr>
    </w:p>
    <w:p w:rsidR="0025767E" w:rsidRDefault="0025767E">
      <w:pPr>
        <w:widowControl w:val="0"/>
        <w:jc w:val="center"/>
        <w:rPr>
          <w:b/>
          <w:sz w:val="28"/>
        </w:rPr>
      </w:pPr>
    </w:p>
    <w:p w:rsidR="0025767E" w:rsidRDefault="0025767E">
      <w:pPr>
        <w:widowControl w:val="0"/>
        <w:jc w:val="center"/>
        <w:rPr>
          <w:b/>
          <w:sz w:val="28"/>
        </w:rPr>
      </w:pPr>
    </w:p>
    <w:p w:rsidR="0025767E" w:rsidRDefault="0025767E">
      <w:pPr>
        <w:widowControl w:val="0"/>
        <w:jc w:val="center"/>
        <w:rPr>
          <w:b/>
          <w:sz w:val="28"/>
        </w:rPr>
      </w:pPr>
    </w:p>
    <w:p w:rsidR="0025767E" w:rsidRDefault="004E32DF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25767E" w:rsidRDefault="004E32D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25767E" w:rsidRDefault="004E32D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25767E" w:rsidRDefault="0025767E">
      <w:pPr>
        <w:widowControl w:val="0"/>
        <w:jc w:val="center"/>
        <w:rPr>
          <w:b/>
          <w:sz w:val="16"/>
          <w:szCs w:val="16"/>
        </w:rPr>
      </w:pPr>
    </w:p>
    <w:p w:rsidR="0025767E" w:rsidRDefault="004E32DF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5767E" w:rsidRDefault="0025767E">
      <w:pPr>
        <w:widowControl w:val="0"/>
        <w:jc w:val="center"/>
      </w:pPr>
    </w:p>
    <w:p w:rsidR="0025767E" w:rsidRDefault="0025767E">
      <w:pPr>
        <w:widowControl w:val="0"/>
        <w:jc w:val="center"/>
      </w:pPr>
    </w:p>
    <w:p w:rsidR="0025767E" w:rsidRDefault="004E32DF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от</w:t>
      </w:r>
      <w:r w:rsidRPr="00714270">
        <w:rPr>
          <w:b/>
          <w:sz w:val="24"/>
        </w:rPr>
        <w:t xml:space="preserve"> 08</w:t>
      </w:r>
      <w:r>
        <w:rPr>
          <w:b/>
          <w:sz w:val="24"/>
        </w:rPr>
        <w:t>.</w:t>
      </w:r>
      <w:r w:rsidRPr="00714270">
        <w:rPr>
          <w:b/>
          <w:sz w:val="24"/>
        </w:rPr>
        <w:t>11</w:t>
      </w:r>
      <w:r>
        <w:rPr>
          <w:b/>
          <w:sz w:val="24"/>
        </w:rPr>
        <w:t>.</w:t>
      </w:r>
      <w:r w:rsidRPr="00714270">
        <w:rPr>
          <w:b/>
          <w:sz w:val="24"/>
        </w:rPr>
        <w:t xml:space="preserve">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1753</w:t>
      </w:r>
    </w:p>
    <w:p w:rsidR="0025767E" w:rsidRDefault="004E32DF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25767E" w:rsidRDefault="0025767E">
      <w:pPr>
        <w:widowControl w:val="0"/>
        <w:jc w:val="both"/>
        <w:rPr>
          <w:sz w:val="24"/>
          <w:szCs w:val="24"/>
        </w:rPr>
      </w:pPr>
    </w:p>
    <w:p w:rsidR="0025767E" w:rsidRDefault="0025767E">
      <w:pPr>
        <w:widowControl w:val="0"/>
        <w:jc w:val="both"/>
        <w:rPr>
          <w:sz w:val="24"/>
          <w:szCs w:val="24"/>
        </w:rPr>
      </w:pPr>
    </w:p>
    <w:p w:rsidR="0025767E" w:rsidRDefault="004E32DF">
      <w:pPr>
        <w:widowControl w:val="0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О прогнозе социально-экономического развития </w:t>
      </w:r>
      <w:proofErr w:type="spellStart"/>
      <w:r>
        <w:rPr>
          <w:b/>
          <w:bCs/>
          <w:iCs/>
          <w:color w:val="auto"/>
        </w:rPr>
        <w:t>Печенгского</w:t>
      </w:r>
      <w:proofErr w:type="spellEnd"/>
      <w:r>
        <w:rPr>
          <w:b/>
          <w:bCs/>
          <w:iCs/>
          <w:color w:val="auto"/>
        </w:rPr>
        <w:t xml:space="preserve"> муниципального округа </w:t>
      </w:r>
    </w:p>
    <w:p w:rsidR="0025767E" w:rsidRDefault="004E32DF">
      <w:pPr>
        <w:widowControl w:val="0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на 2025</w:t>
      </w:r>
      <w:r>
        <w:rPr>
          <w:b/>
          <w:bCs/>
          <w:iCs/>
          <w:color w:val="auto"/>
        </w:rPr>
        <w:t xml:space="preserve"> год и на плановый период 2026 и 2027 годов</w:t>
      </w:r>
    </w:p>
    <w:p w:rsidR="0025767E" w:rsidRDefault="0025767E">
      <w:pPr>
        <w:widowControl w:val="0"/>
        <w:jc w:val="center"/>
        <w:rPr>
          <w:color w:val="auto"/>
          <w:sz w:val="24"/>
          <w:szCs w:val="24"/>
        </w:rPr>
      </w:pPr>
    </w:p>
    <w:p w:rsidR="0025767E" w:rsidRDefault="0025767E">
      <w:pPr>
        <w:widowControl w:val="0"/>
        <w:jc w:val="both"/>
        <w:rPr>
          <w:color w:val="auto"/>
          <w:sz w:val="24"/>
          <w:szCs w:val="24"/>
        </w:rPr>
      </w:pP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В соответствии со статьей 173 Бюджетного кодекса Российской Федерации, постановлением Правительства Мурманской области от 04.08.2015 № 331-ПП «О порядке разработки, корректировки, осуществления мониторинга и ко</w:t>
      </w:r>
      <w:r>
        <w:rPr>
          <w:color w:val="auto"/>
          <w:sz w:val="24"/>
          <w:szCs w:val="24"/>
        </w:rPr>
        <w:t xml:space="preserve">нтроля реализации прогнозов социально-экономического развития Мурманской области на среднесрочный и долгосрочный периоды», постановлением администрации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от 29.07.2021 № 794 «Об утверждении Порядка разработки прогноза социал</w:t>
      </w:r>
      <w:r>
        <w:rPr>
          <w:color w:val="auto"/>
          <w:sz w:val="24"/>
          <w:szCs w:val="24"/>
        </w:rPr>
        <w:t xml:space="preserve">ьно-экономического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на среднесрочный период»,</w:t>
      </w:r>
      <w:proofErr w:type="gramEnd"/>
    </w:p>
    <w:p w:rsidR="0025767E" w:rsidRDefault="0025767E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5767E" w:rsidRDefault="004E32DF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ПОСТАНОВЛЯЮ:</w:t>
      </w:r>
    </w:p>
    <w:p w:rsidR="0025767E" w:rsidRDefault="0025767E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5767E" w:rsidRDefault="004E32DF">
      <w:pPr>
        <w:pStyle w:val="ac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Одобрить прогноз социально-экономического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на 2025 год и на плановый период 2026 и 2027 годов</w:t>
      </w:r>
      <w:r>
        <w:rPr>
          <w:color w:val="auto"/>
          <w:sz w:val="24"/>
          <w:szCs w:val="24"/>
        </w:rPr>
        <w:t xml:space="preserve"> согласно приложению к настоящему постановлению.</w:t>
      </w:r>
    </w:p>
    <w:p w:rsidR="0025767E" w:rsidRDefault="004E32DF">
      <w:pPr>
        <w:pStyle w:val="ac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Настоящее постановление вступает в силу после его подписания.</w:t>
      </w:r>
    </w:p>
    <w:p w:rsidR="0025767E" w:rsidRDefault="004E32DF">
      <w:pPr>
        <w:pStyle w:val="ac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в сети Интернет.</w:t>
      </w:r>
    </w:p>
    <w:p w:rsidR="0025767E" w:rsidRDefault="0025767E">
      <w:pPr>
        <w:widowControl w:val="0"/>
        <w:jc w:val="both"/>
        <w:rPr>
          <w:color w:val="auto"/>
          <w:sz w:val="24"/>
          <w:szCs w:val="24"/>
        </w:rPr>
      </w:pPr>
    </w:p>
    <w:p w:rsidR="0025767E" w:rsidRDefault="0025767E">
      <w:pPr>
        <w:widowControl w:val="0"/>
        <w:jc w:val="both"/>
        <w:rPr>
          <w:color w:val="auto"/>
          <w:sz w:val="24"/>
          <w:szCs w:val="24"/>
        </w:rPr>
      </w:pPr>
    </w:p>
    <w:p w:rsidR="0025767E" w:rsidRDefault="004E32DF">
      <w:pPr>
        <w:widowControl w:val="0"/>
        <w:jc w:val="both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Глава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А.В. Кузнецов</w:t>
      </w: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25767E">
      <w:pPr>
        <w:widowControl w:val="0"/>
        <w:jc w:val="both"/>
        <w:rPr>
          <w:color w:val="FF0000"/>
        </w:rPr>
      </w:pPr>
    </w:p>
    <w:p w:rsidR="0025767E" w:rsidRDefault="004E32DF">
      <w:pPr>
        <w:widowControl w:val="0"/>
        <w:jc w:val="both"/>
        <w:rPr>
          <w:color w:val="auto"/>
        </w:rPr>
      </w:pPr>
      <w:proofErr w:type="spellStart"/>
      <w:r>
        <w:rPr>
          <w:color w:val="auto"/>
        </w:rPr>
        <w:t>Чупина</w:t>
      </w:r>
      <w:proofErr w:type="spellEnd"/>
      <w:r>
        <w:rPr>
          <w:color w:val="auto"/>
        </w:rPr>
        <w:t xml:space="preserve"> Н.В.., (81554) 62041</w:t>
      </w:r>
    </w:p>
    <w:p w:rsidR="0025767E" w:rsidRDefault="0025767E">
      <w:pPr>
        <w:spacing w:after="200" w:line="276" w:lineRule="auto"/>
        <w:ind w:firstLine="5529"/>
        <w:rPr>
          <w:color w:val="auto"/>
        </w:rPr>
        <w:sectPr w:rsidR="0025767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767E" w:rsidRDefault="004E32DF">
      <w:pPr>
        <w:ind w:left="10632"/>
        <w:contextualSpacing/>
        <w:jc w:val="both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</w:t>
      </w:r>
      <w:r>
        <w:rPr>
          <w:b/>
          <w:bCs/>
          <w:color w:val="auto"/>
          <w:sz w:val="24"/>
          <w:szCs w:val="24"/>
        </w:rPr>
        <w:t xml:space="preserve"> </w:t>
      </w:r>
    </w:p>
    <w:p w:rsidR="0025767E" w:rsidRDefault="004E32DF">
      <w:pPr>
        <w:ind w:left="1063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постановлению администрации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</w:t>
      </w:r>
    </w:p>
    <w:p w:rsidR="0025767E" w:rsidRDefault="004E32DF">
      <w:pPr>
        <w:ind w:left="1063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08.11.2024 № 1753</w:t>
      </w:r>
    </w:p>
    <w:p w:rsidR="0025767E" w:rsidRDefault="0025767E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25767E" w:rsidRDefault="0025767E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25767E" w:rsidRDefault="004E32DF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ПРОГНОЗ</w:t>
      </w:r>
    </w:p>
    <w:p w:rsidR="0025767E" w:rsidRDefault="004E32DF">
      <w:pPr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социально-экономического развития </w:t>
      </w:r>
      <w:proofErr w:type="spellStart"/>
      <w:r>
        <w:rPr>
          <w:bCs/>
          <w:color w:val="auto"/>
          <w:sz w:val="24"/>
          <w:szCs w:val="24"/>
        </w:rPr>
        <w:t>Печенгского</w:t>
      </w:r>
      <w:proofErr w:type="spellEnd"/>
      <w:r>
        <w:rPr>
          <w:bCs/>
          <w:color w:val="auto"/>
          <w:sz w:val="24"/>
          <w:szCs w:val="24"/>
        </w:rPr>
        <w:t xml:space="preserve"> муниципального округа</w:t>
      </w:r>
    </w:p>
    <w:p w:rsidR="0025767E" w:rsidRDefault="004E32DF">
      <w:pPr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на 2025 год и на плановый период 2026 и 2027 годов</w:t>
      </w:r>
    </w:p>
    <w:p w:rsidR="0025767E" w:rsidRDefault="0025767E">
      <w:pPr>
        <w:ind w:firstLine="600"/>
        <w:rPr>
          <w:color w:val="auto"/>
          <w:szCs w:val="28"/>
        </w:rPr>
      </w:pPr>
    </w:p>
    <w:tbl>
      <w:tblPr>
        <w:tblpPr w:leftFromText="180" w:rightFromText="180" w:vertAnchor="text" w:tblpX="-105" w:tblpY="1"/>
        <w:tblW w:w="153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1559"/>
        <w:gridCol w:w="1056"/>
        <w:gridCol w:w="1138"/>
        <w:gridCol w:w="1134"/>
        <w:gridCol w:w="1134"/>
        <w:gridCol w:w="1134"/>
        <w:gridCol w:w="1211"/>
        <w:gridCol w:w="1054"/>
        <w:gridCol w:w="1134"/>
        <w:gridCol w:w="1196"/>
      </w:tblGrid>
      <w:tr w:rsidR="0025767E">
        <w:trPr>
          <w:trHeight w:val="368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  <w:p w:rsidR="0025767E" w:rsidRDefault="0025767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  <w:p w:rsidR="0025767E" w:rsidRDefault="0025767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 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594"/>
          <w:tblHeader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г. </w:t>
            </w:r>
          </w:p>
        </w:tc>
      </w:tr>
      <w:tr w:rsidR="0025767E">
        <w:trPr>
          <w:trHeight w:val="20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20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25767E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Cs/>
                <w:sz w:val="22"/>
              </w:rPr>
            </w:pPr>
            <w:r>
              <w:rPr>
                <w:bCs/>
                <w:sz w:val="22"/>
              </w:rPr>
              <w:t>Численность населения (среднегодовая)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28,286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26,646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Cs/>
              </w:rPr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   городского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23,878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22,484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22,545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   сельского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4,100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Общий коэффициент смертности</w:t>
            </w:r>
          </w:p>
          <w:p w:rsidR="0025767E" w:rsidRDefault="0025767E">
            <w:pPr>
              <w:rPr>
                <w:sz w:val="22"/>
                <w:szCs w:val="22"/>
              </w:rPr>
            </w:pPr>
          </w:p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25767E">
        <w:trPr>
          <w:trHeight w:val="30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366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305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30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прибывших</w:t>
            </w:r>
            <w:proofErr w:type="gramEnd"/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0,635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прибывших</w:t>
            </w:r>
            <w:proofErr w:type="gramEnd"/>
            <w:r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0,472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выбывших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– </w:t>
            </w:r>
            <w:r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1,380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выбывших</w:t>
            </w:r>
            <w:proofErr w:type="gramEnd"/>
            <w:r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0,989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Коэффициент естественного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</w:tr>
      <w:tr w:rsidR="0025767E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Коэффициент миграционного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25767E">
        <w:trPr>
          <w:trHeight w:val="2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2.1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</w:t>
            </w:r>
            <w:r>
              <w:rPr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40 423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212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47 839,8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48 207,3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50 094,3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52 316,1</w:t>
            </w:r>
          </w:p>
        </w:tc>
      </w:tr>
      <w:tr w:rsidR="0025767E">
        <w:trPr>
          <w:trHeight w:val="5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промышленного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sz w:val="22"/>
              </w:rPr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</w:tr>
      <w:tr w:rsidR="0025767E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pStyle w:val="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>: Добыча полезных ископаемых*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 xml:space="preserve">млн. </w:t>
            </w:r>
            <w:r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32 407,2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39 999,3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40 424,3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42 041,3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43 847,3</w:t>
            </w:r>
          </w:p>
        </w:tc>
      </w:tr>
      <w:tr w:rsidR="0025767E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Темп роста производства – Раздел </w:t>
            </w:r>
            <w:r>
              <w:rPr>
                <w:rFonts w:eastAsia="Arial Unicode MS"/>
                <w:lang w:val="en-US"/>
              </w:rPr>
              <w:t>B</w:t>
            </w:r>
            <w:r>
              <w:rPr>
                <w:rFonts w:eastAsia="Arial Unicode MS"/>
              </w:rPr>
              <w:t xml:space="preserve">: Добыча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Раздел </w:t>
            </w:r>
            <w:r>
              <w:rPr>
                <w:rFonts w:eastAsia="Arial Unicode MS"/>
                <w:lang w:val="en-US"/>
              </w:rPr>
              <w:t>C</w:t>
            </w:r>
            <w:r>
              <w:rPr>
                <w:rFonts w:eastAsia="Arial Unicode MS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4 474,7</w:t>
            </w:r>
          </w:p>
        </w:tc>
      </w:tr>
      <w:tr w:rsidR="0025767E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42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66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Раздел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3 503,7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3 738,3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Оборот розничной торговли**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 xml:space="preserve">млн. </w:t>
            </w:r>
            <w:r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4 742,1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6 259,5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6 313,9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6 432,2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6 700,6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Оборот розничной торговли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6 022,0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6 173,5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6 442,9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Оборот общественного питания**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1 484,7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1 594,0</w:t>
            </w:r>
          </w:p>
        </w:tc>
      </w:tr>
      <w:tr w:rsidR="0025767E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564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Количество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объектов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розничной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торговли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Количество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объектов</w:t>
            </w:r>
            <w:r>
              <w:rPr>
                <w:sz w:val="22"/>
              </w:rPr>
              <w:t xml:space="preserve"> о</w:t>
            </w:r>
            <w:r>
              <w:rPr>
                <w:rFonts w:hint="eastAsia"/>
                <w:sz w:val="22"/>
              </w:rPr>
              <w:t>бщественного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Количество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объектов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бытового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обслуживания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населения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оказывающих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rPr>
                <w:sz w:val="22"/>
                <w:szCs w:val="22"/>
              </w:rPr>
              <w:t>112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Объем платных услуг населению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</w:t>
            </w:r>
            <w:r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1 794,5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1 915,9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Площадь торгового зала объектов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21 795,6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21 895,0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Обеспеченность населения торговыми площадями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кв. м на 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821,7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Число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коллективных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средств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</w:t>
            </w:r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  <w:szCs w:val="16"/>
              </w:rPr>
              <w:t>всего***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Численность индивидуальных предпринимателей</w:t>
            </w:r>
            <w:r>
              <w:rPr>
                <w:rStyle w:val="afc"/>
                <w:sz w:val="22"/>
                <w:szCs w:val="16"/>
              </w:rPr>
              <w:endnoteReference w:id="1"/>
            </w:r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  <w:szCs w:val="16"/>
              </w:rPr>
              <w:t>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</w:tr>
      <w:tr w:rsidR="0025767E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706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  <w:szCs w:val="16"/>
              </w:rPr>
            </w:pPr>
            <w:r>
              <w:rPr>
                <w:sz w:val="22"/>
              </w:rPr>
              <w:t>Количество средних предприятий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</w:t>
            </w:r>
            <w:r>
              <w:rPr>
                <w:bCs/>
                <w:sz w:val="22"/>
              </w:rPr>
              <w:t xml:space="preserve"> – </w:t>
            </w:r>
            <w:r>
              <w:rPr>
                <w:sz w:val="22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  <w:szCs w:val="16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Объем инвестиций в основной капитал (за исключением бюджетных средств)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233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360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695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658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873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728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662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Cs/>
                <w:sz w:val="22"/>
              </w:rPr>
            </w:pPr>
            <w:r>
              <w:rPr>
                <w:bCs/>
                <w:sz w:val="22"/>
              </w:rPr>
              <w:t>Объем инвестиций (в основной капитал) за счет всех источников финансирования – всего**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7 707,3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10 137,1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10 662,9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Cs/>
                <w:sz w:val="22"/>
              </w:rPr>
            </w:pPr>
            <w:r>
              <w:rPr>
                <w:bCs/>
                <w:sz w:val="22"/>
              </w:rPr>
              <w:t>Объем инвестиций (в основной капитал) за счет субъектов малого и среднего предпринимательства – всего**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139,3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Объем инвестиций, осуществляемые организациями, находящимися на территории муниципального образования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7 533,0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9 109,3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9 982,1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10 523,6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Индекс физического объема </w:t>
            </w:r>
            <w:r>
              <w:rPr>
                <w:bCs/>
                <w:sz w:val="22"/>
              </w:rPr>
              <w:t>за счет всех источников финансирования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t>% к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Инвестиции в основной капитал по источникам финансирования:**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25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25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собственные средства предприятий**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6 181,1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6 302,7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10 137,1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10 662,9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привлеченные средства**</w:t>
            </w:r>
            <w:r>
              <w:rPr>
                <w:sz w:val="22"/>
              </w:rPr>
              <w:t>: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средства бюджета 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средства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5 126,9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3 584,2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3 741,9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3 876,6</w:t>
            </w:r>
          </w:p>
        </w:tc>
      </w:tr>
      <w:tr w:rsidR="0025767E">
        <w:trPr>
          <w:trHeight w:val="4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</w:tr>
      <w:tr w:rsidR="0025767E">
        <w:trPr>
          <w:trHeight w:val="35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16,976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Cs/>
                <w:sz w:val="22"/>
              </w:rPr>
            </w:pPr>
            <w:r>
              <w:rPr>
                <w:bCs/>
                <w:sz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8,764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t xml:space="preserve">рублей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91 005,6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115 200,0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132 300,0</w:t>
            </w:r>
          </w:p>
        </w:tc>
      </w:tr>
      <w:tr w:rsidR="0025767E">
        <w:trPr>
          <w:trHeight w:val="2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</w:tr>
      <w:tr w:rsidR="0025767E">
        <w:trPr>
          <w:trHeight w:val="6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bCs/>
                <w:sz w:val="22"/>
              </w:rPr>
              <w:t>Численность детей в дошкольных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25767E">
        <w:trPr>
          <w:trHeight w:val="5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bCs/>
                <w:sz w:val="22"/>
              </w:rPr>
            </w:pPr>
            <w:r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4 042</w:t>
            </w:r>
          </w:p>
        </w:tc>
      </w:tr>
      <w:tr w:rsidR="0025767E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25767E">
        <w:trPr>
          <w:trHeight w:val="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767E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</w:tr>
      <w:tr w:rsidR="0025767E">
        <w:trPr>
          <w:trHeight w:val="5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общедоступными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 xml:space="preserve">учреждений </w:t>
            </w:r>
            <w:proofErr w:type="gramStart"/>
            <w:r>
              <w:t>на</w:t>
            </w:r>
            <w:proofErr w:type="gramEnd"/>
          </w:p>
          <w:p w:rsidR="0025767E" w:rsidRDefault="004E32DF">
            <w:pPr>
              <w:jc w:val="center"/>
            </w:pPr>
            <w:r>
              <w:t>100 тыс.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25767E">
        <w:trPr>
          <w:trHeight w:val="39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25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 xml:space="preserve">учреждений </w:t>
            </w:r>
            <w:proofErr w:type="gramStart"/>
            <w:r>
              <w:t>на</w:t>
            </w:r>
            <w:proofErr w:type="gramEnd"/>
          </w:p>
          <w:p w:rsidR="0025767E" w:rsidRDefault="004E32DF">
            <w:pPr>
              <w:jc w:val="center"/>
              <w:rPr>
                <w:rFonts w:eastAsia="Arial Unicode MS"/>
                <w:b/>
                <w:bCs/>
              </w:rPr>
            </w:pPr>
            <w:r>
              <w:t>100 тыс.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="Arial Unicode MS"/>
                <w:b/>
                <w:bCs/>
              </w:rPr>
            </w:pPr>
            <w:r>
              <w:t>мест на 100 детей дошкольного возраста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</w:tr>
      <w:tr w:rsidR="0025767E">
        <w:trPr>
          <w:trHeight w:val="18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Cs/>
                <w:sz w:val="22"/>
              </w:rPr>
            </w:pPr>
            <w:r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>
              <w:rPr>
                <w:sz w:val="22"/>
                <w:szCs w:val="24"/>
              </w:rPr>
              <w:t>численности</w:t>
            </w:r>
            <w:proofErr w:type="gramEnd"/>
            <w:r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  <w:p w:rsidR="0025767E" w:rsidRDefault="004E32DF">
            <w:pPr>
              <w:jc w:val="center"/>
            </w:pPr>
            <w: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кв. м общей площади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sz w:val="22"/>
              </w:rPr>
              <w:t>Количество выданных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5767E">
        <w:trPr>
          <w:trHeight w:val="8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 xml:space="preserve">Количество выданных разрешений на ввод объектов 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sz w:val="22"/>
              </w:rPr>
              <w:t>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5767E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Площадь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земельных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участков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предоставленных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для</w:t>
            </w:r>
            <w:proofErr w:type="gramEnd"/>
          </w:p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жилищного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строительства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индивидуального</w:t>
            </w:r>
          </w:p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жилищного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строительства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комплексного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освоения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в</w:t>
            </w:r>
            <w:proofErr w:type="gramEnd"/>
          </w:p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целях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жилищного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строительства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расчете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10 </w:t>
            </w:r>
            <w:r>
              <w:rPr>
                <w:rFonts w:hint="eastAsia"/>
                <w:sz w:val="22"/>
              </w:rPr>
              <w:t>тысяч</w:t>
            </w:r>
          </w:p>
          <w:p w:rsidR="0025767E" w:rsidRDefault="004E32D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человек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Cs/>
              </w:rPr>
            </w:pPr>
          </w:p>
          <w:p w:rsidR="0025767E" w:rsidRDefault="0025767E">
            <w:pPr>
              <w:jc w:val="center"/>
              <w:rPr>
                <w:bCs/>
              </w:rPr>
            </w:pPr>
          </w:p>
          <w:p w:rsidR="0025767E" w:rsidRDefault="004E32DF">
            <w:pPr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</w:tr>
      <w:tr w:rsidR="0025767E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84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13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Введено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действие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индивидуальных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жилых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домов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на</w:t>
            </w:r>
            <w:proofErr w:type="gramEnd"/>
          </w:p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территории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муниципального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образования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кв</w:t>
            </w:r>
            <w:r>
              <w:rPr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общей</w:t>
            </w:r>
          </w:p>
          <w:p w:rsidR="0025767E" w:rsidRDefault="004E32DF">
            <w:pPr>
              <w:rPr>
                <w:bCs/>
                <w:sz w:val="22"/>
                <w:lang w:val="en-US"/>
              </w:rPr>
            </w:pPr>
            <w:r>
              <w:rPr>
                <w:rFonts w:hint="eastAsia"/>
                <w:sz w:val="22"/>
              </w:rPr>
              <w:t>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25767E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кв. м на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25767E">
        <w:trPr>
          <w:trHeight w:val="3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Общая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площадь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жилых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787,2</w:t>
            </w:r>
          </w:p>
        </w:tc>
      </w:tr>
      <w:tr w:rsidR="0025767E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 xml:space="preserve">Площадь аварийного фонда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25767E">
        <w:trPr>
          <w:trHeight w:val="22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Доля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населения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проживающего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населенных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пунктах</w:t>
            </w:r>
            <w:r>
              <w:rPr>
                <w:sz w:val="22"/>
              </w:rPr>
              <w:t>,</w:t>
            </w:r>
          </w:p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имеющих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регулярного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автобусного</w:t>
            </w:r>
          </w:p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железнодорожного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сообщения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административным</w:t>
            </w:r>
            <w:proofErr w:type="gramEnd"/>
          </w:p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центром</w:t>
            </w:r>
            <w:r>
              <w:rPr>
                <w:sz w:val="22"/>
              </w:rPr>
              <w:t xml:space="preserve">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о</w:t>
            </w:r>
            <w:proofErr w:type="gramEnd"/>
            <w:r>
              <w:rPr>
                <w:rFonts w:hint="eastAsia"/>
                <w:sz w:val="22"/>
              </w:rPr>
              <w:t>круга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общей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численности</w:t>
            </w:r>
          </w:p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населения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муниципального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5767E">
        <w:trPr>
          <w:trHeight w:val="7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Протяженность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автодорог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общего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пользования</w:t>
            </w:r>
          </w:p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25767E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из</w:t>
            </w:r>
            <w:r>
              <w:rPr>
                <w:sz w:val="22"/>
              </w:rPr>
              <w:t xml:space="preserve">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25767E">
        <w:trPr>
          <w:trHeight w:val="4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твердым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</w:tr>
      <w:tr w:rsidR="0025767E">
        <w:trPr>
          <w:trHeight w:val="4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усовершенствованным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25767E">
        <w:trPr>
          <w:trHeight w:val="10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4E32DF">
            <w:pPr>
              <w:rPr>
                <w:sz w:val="22"/>
              </w:rPr>
            </w:pPr>
            <w:r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25767E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42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pStyle w:val="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11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1 074 441,8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1 138 030,2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1 176 805,5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1 154 212,9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1 154 207,3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1 161 257,5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1 161 251,7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1 167 453,0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1 167 447,0</w:t>
            </w: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1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1 722,8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2 705,4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3 282,0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4 004,0</w:t>
            </w:r>
          </w:p>
        </w:tc>
      </w:tr>
      <w:tr w:rsidR="0025767E">
        <w:trPr>
          <w:trHeight w:val="1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156 011,5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161 203,7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162 052,5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163 604,4</w:t>
            </w: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135 082,9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137 529,6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143 924,8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147 111,2</w:t>
            </w:r>
          </w:p>
        </w:tc>
      </w:tr>
      <w:tr w:rsidR="0025767E">
        <w:trPr>
          <w:trHeight w:val="3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20 928,6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23 674,2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18 127,7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16 493,2</w:t>
            </w:r>
          </w:p>
        </w:tc>
      </w:tr>
      <w:tr w:rsidR="0025767E">
        <w:trPr>
          <w:trHeight w:val="4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color w:val="FF0000"/>
                <w:sz w:val="22"/>
              </w:rPr>
            </w:pPr>
          </w:p>
        </w:tc>
      </w:tr>
      <w:tr w:rsidR="0025767E">
        <w:trPr>
          <w:trHeight w:val="9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116 993,5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126 330,5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150 434,8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156 452,2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156 452,2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162 710,3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162 710,1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169 218,7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169 218,7</w:t>
            </w:r>
          </w:p>
        </w:tc>
      </w:tr>
      <w:tr w:rsidR="0025767E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5767E" w:rsidRDefault="004E32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proofErr w:type="spellStart"/>
            <w:proofErr w:type="gramStart"/>
            <w:r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Базовый</w:t>
            </w:r>
          </w:p>
        </w:tc>
      </w:tr>
      <w:tr w:rsidR="0025767E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767E" w:rsidRDefault="0025767E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257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25767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7E" w:rsidRDefault="004E32DF">
            <w:pPr>
              <w:jc w:val="center"/>
            </w:pPr>
            <w:r>
              <w:t>2 вариант</w:t>
            </w: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687 530,8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755 795,9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 xml:space="preserve">766 </w:t>
            </w:r>
            <w:r>
              <w:t>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766 532,9</w:t>
            </w:r>
          </w:p>
        </w:tc>
      </w:tr>
      <w:tr w:rsidR="0025767E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767E" w:rsidRDefault="004E3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</w:pPr>
            <w: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1 516,3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1 450,4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1 520,0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1 586,9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7E" w:rsidRDefault="004E32DF">
            <w:pPr>
              <w:jc w:val="right"/>
            </w:pPr>
            <w:r>
              <w:t>1 568,8</w:t>
            </w:r>
          </w:p>
        </w:tc>
      </w:tr>
    </w:tbl>
    <w:p w:rsidR="0025767E" w:rsidRDefault="0025767E">
      <w:pPr>
        <w:ind w:left="720" w:hanging="720"/>
      </w:pPr>
    </w:p>
    <w:p w:rsidR="0025767E" w:rsidRDefault="0025767E">
      <w:pPr>
        <w:ind w:left="720" w:hanging="720"/>
      </w:pPr>
    </w:p>
    <w:p w:rsidR="0025767E" w:rsidRDefault="004E32DF">
      <w:pPr>
        <w:ind w:left="720" w:hanging="720"/>
      </w:pPr>
      <w:r>
        <w:t>*Статистические данные отсутствуют, при расчете применена экспертная оценка</w:t>
      </w:r>
    </w:p>
    <w:p w:rsidR="0025767E" w:rsidRDefault="004E32DF">
      <w:pPr>
        <w:ind w:left="720" w:hanging="720"/>
      </w:pPr>
      <w:r>
        <w:t xml:space="preserve">** При расчете применена экспертная оценка с учетом </w:t>
      </w:r>
      <w:proofErr w:type="spellStart"/>
      <w:r>
        <w:t>досчета</w:t>
      </w:r>
      <w:proofErr w:type="spellEnd"/>
      <w:r>
        <w:t xml:space="preserve"> по субъектам малого предпринимательства</w:t>
      </w:r>
    </w:p>
    <w:p w:rsidR="0025767E" w:rsidRDefault="004E32DF">
      <w:pPr>
        <w:ind w:left="426" w:hanging="426"/>
      </w:pPr>
      <w:r>
        <w:t>***В связи с тем, что сплошное статистическое наблюдение за деятельностью малого</w:t>
      </w:r>
      <w:r>
        <w:t xml:space="preserve"> и среднего бизнеса проводится раз в пять лет показатели рассчитаны с учетом данных Единого реестра субъектов малого и среднего предпринимательства</w:t>
      </w:r>
    </w:p>
    <w:p w:rsidR="0025767E" w:rsidRDefault="0025767E">
      <w:pPr>
        <w:ind w:left="720" w:hanging="720"/>
      </w:pPr>
    </w:p>
    <w:p w:rsidR="0025767E" w:rsidRDefault="004E32DF">
      <w:pPr>
        <w:ind w:firstLine="709"/>
        <w:jc w:val="both"/>
      </w:pPr>
      <w:r>
        <w:t xml:space="preserve">Предварительные итоги социально-экономического развития </w:t>
      </w:r>
      <w:proofErr w:type="spellStart"/>
      <w:r>
        <w:t>Печенгского</w:t>
      </w:r>
      <w:proofErr w:type="spellEnd"/>
      <w:r>
        <w:t xml:space="preserve"> муниципального округа в 1 полугодии 202</w:t>
      </w:r>
      <w:r>
        <w:t xml:space="preserve">4 года и ожидаемые итоги за 2024 год представлены в приложении № 1 к прогнозу социально-экономического развития </w:t>
      </w:r>
      <w:proofErr w:type="spellStart"/>
      <w:r>
        <w:t>Печенгского</w:t>
      </w:r>
      <w:proofErr w:type="spellEnd"/>
      <w:r>
        <w:t xml:space="preserve"> муниципального округа на 2025 год и на плановый период 2026 и 2027 годов.</w:t>
      </w:r>
    </w:p>
    <w:p w:rsidR="0025767E" w:rsidRDefault="004E32DF">
      <w:pPr>
        <w:ind w:firstLine="709"/>
        <w:jc w:val="both"/>
      </w:pPr>
      <w:r>
        <w:t xml:space="preserve">Пояснительная записка к прогнозу социально-экономического </w:t>
      </w:r>
      <w:r>
        <w:t xml:space="preserve">развития </w:t>
      </w:r>
      <w:proofErr w:type="spellStart"/>
      <w:r>
        <w:t>Печенгского</w:t>
      </w:r>
      <w:proofErr w:type="spellEnd"/>
      <w:r>
        <w:t xml:space="preserve"> муниципального округа на 2025 год и на плановый период 2026 и 2027 годов представлена в приложении № 2 к прогнозу социально-экономического развития </w:t>
      </w:r>
      <w:proofErr w:type="spellStart"/>
      <w:r>
        <w:t>Печенгского</w:t>
      </w:r>
      <w:proofErr w:type="spellEnd"/>
      <w:r>
        <w:t xml:space="preserve"> муниципального округа на 2025 год и на плановый период 2026 и 2027 годов.</w:t>
      </w:r>
    </w:p>
    <w:p w:rsidR="0025767E" w:rsidRDefault="0025767E">
      <w:pPr>
        <w:ind w:firstLine="709"/>
        <w:jc w:val="both"/>
        <w:rPr>
          <w:color w:val="FF0000"/>
          <w:sz w:val="24"/>
          <w:szCs w:val="24"/>
        </w:rPr>
        <w:sectPr w:rsidR="0025767E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25767E" w:rsidRDefault="004E32DF">
      <w:pPr>
        <w:ind w:left="52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№ 1</w:t>
      </w:r>
    </w:p>
    <w:p w:rsidR="0025767E" w:rsidRDefault="004E32DF">
      <w:pPr>
        <w:ind w:left="5244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к прогнозу социально-экономического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на 2025 год и на плановый период 2026 и 2027 годов</w:t>
      </w:r>
    </w:p>
    <w:p w:rsidR="0025767E" w:rsidRDefault="0025767E">
      <w:pPr>
        <w:ind w:left="5244"/>
        <w:jc w:val="center"/>
        <w:rPr>
          <w:b/>
          <w:color w:val="FF0000"/>
          <w:sz w:val="24"/>
          <w:szCs w:val="24"/>
        </w:rPr>
      </w:pPr>
    </w:p>
    <w:p w:rsidR="0025767E" w:rsidRDefault="0025767E">
      <w:pPr>
        <w:ind w:left="5244"/>
        <w:jc w:val="center"/>
        <w:rPr>
          <w:b/>
          <w:color w:val="FF0000"/>
          <w:sz w:val="24"/>
          <w:szCs w:val="24"/>
        </w:rPr>
      </w:pP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ПРЕДВАРИТЕЛЬНЫЕ ИТОГИ</w:t>
      </w:r>
    </w:p>
    <w:p w:rsidR="0025767E" w:rsidRDefault="004E32DF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социального 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</w:t>
      </w:r>
    </w:p>
    <w:p w:rsidR="0025767E" w:rsidRDefault="004E32DF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1 полугодии 2024 года и ожидаемые итоги социально-экономического развития 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за 2024 год</w:t>
      </w:r>
    </w:p>
    <w:p w:rsidR="0025767E" w:rsidRDefault="0025767E">
      <w:pPr>
        <w:jc w:val="both"/>
        <w:rPr>
          <w:color w:val="FF0000"/>
          <w:sz w:val="24"/>
          <w:szCs w:val="24"/>
        </w:rPr>
      </w:pPr>
    </w:p>
    <w:p w:rsidR="0025767E" w:rsidRDefault="0025767E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46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984"/>
        <w:gridCol w:w="1276"/>
        <w:gridCol w:w="1276"/>
        <w:gridCol w:w="1134"/>
      </w:tblGrid>
      <w:tr w:rsidR="0025767E">
        <w:trPr>
          <w:trHeight w:val="381"/>
          <w:tblHeader/>
        </w:trPr>
        <w:tc>
          <w:tcPr>
            <w:tcW w:w="3793" w:type="dxa"/>
            <w:shd w:val="clear" w:color="auto" w:fill="auto"/>
            <w:vAlign w:val="center"/>
          </w:tcPr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 полугодие 2023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 полугодие 2024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 год</w:t>
            </w:r>
          </w:p>
          <w:p w:rsidR="0025767E" w:rsidRDefault="004E32DF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(оценка)</w:t>
            </w:r>
          </w:p>
        </w:tc>
      </w:tr>
      <w:tr w:rsidR="0025767E">
        <w:trPr>
          <w:trHeight w:val="315"/>
          <w:tblHeader/>
        </w:trPr>
        <w:tc>
          <w:tcPr>
            <w:tcW w:w="3793" w:type="dxa"/>
            <w:vAlign w:val="center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84" w:type="dxa"/>
            <w:vAlign w:val="center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  <w:vAlign w:val="center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>1. Демографические показатели</w:t>
            </w:r>
          </w:p>
        </w:tc>
        <w:tc>
          <w:tcPr>
            <w:tcW w:w="1984" w:type="dxa"/>
          </w:tcPr>
          <w:p w:rsidR="0025767E" w:rsidRDefault="0025767E">
            <w:pPr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5767E" w:rsidRDefault="0025767E">
            <w:pPr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5767E" w:rsidRDefault="0025767E">
            <w:pPr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5767E" w:rsidRDefault="0025767E">
            <w:pPr>
              <w:rPr>
                <w:color w:val="FF0000"/>
              </w:rPr>
            </w:pP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Среднегодовая численность населения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vAlign w:val="center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34" w:type="dxa"/>
            <w:vAlign w:val="center"/>
          </w:tcPr>
          <w:p w:rsidR="0025767E" w:rsidRDefault="004E32DF">
            <w:pPr>
              <w:ind w:left="-111" w:right="-108"/>
              <w:jc w:val="center"/>
              <w:rPr>
                <w:color w:val="FF0000"/>
              </w:rPr>
            </w:pPr>
            <w:r>
              <w:rPr>
                <w:color w:val="auto"/>
              </w:rPr>
              <w:t>29,176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Число </w:t>
            </w:r>
            <w:proofErr w:type="gramStart"/>
            <w:r>
              <w:rPr>
                <w:color w:val="auto"/>
              </w:rPr>
              <w:t>родившихся</w:t>
            </w:r>
            <w:proofErr w:type="gramEnd"/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123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248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Число </w:t>
            </w:r>
            <w:proofErr w:type="gramStart"/>
            <w:r>
              <w:rPr>
                <w:color w:val="auto"/>
              </w:rPr>
              <w:t>умерших</w:t>
            </w:r>
            <w:proofErr w:type="gramEnd"/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205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153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311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Естественный прирост (убыль)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-64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-30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-63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Число </w:t>
            </w:r>
            <w:proofErr w:type="gramStart"/>
            <w:r>
              <w:rPr>
                <w:color w:val="auto"/>
              </w:rPr>
              <w:t>прибывших</w:t>
            </w:r>
            <w:proofErr w:type="gramEnd"/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429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395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782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Число </w:t>
            </w:r>
            <w:proofErr w:type="gramStart"/>
            <w:r>
              <w:rPr>
                <w:color w:val="auto"/>
              </w:rPr>
              <w:t>выбывших</w:t>
            </w:r>
            <w:proofErr w:type="gramEnd"/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762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771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1 632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Миграционный прирост (убыль)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-333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-376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-850</w:t>
            </w:r>
          </w:p>
        </w:tc>
      </w:tr>
      <w:tr w:rsidR="0025767E">
        <w:trPr>
          <w:trHeight w:val="275"/>
        </w:trPr>
        <w:tc>
          <w:tcPr>
            <w:tcW w:w="3793" w:type="dxa"/>
          </w:tcPr>
          <w:p w:rsidR="0025767E" w:rsidRDefault="004E32DF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2. Производство товаров и услуг</w:t>
            </w:r>
          </w:p>
        </w:tc>
        <w:tc>
          <w:tcPr>
            <w:tcW w:w="198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</w:tr>
      <w:tr w:rsidR="0025767E">
        <w:trPr>
          <w:trHeight w:val="300"/>
        </w:trPr>
        <w:tc>
          <w:tcPr>
            <w:tcW w:w="5777" w:type="dxa"/>
            <w:gridSpan w:val="2"/>
            <w:noWrap/>
          </w:tcPr>
          <w:p w:rsidR="0025767E" w:rsidRDefault="004E32DF">
            <w:pPr>
              <w:rPr>
                <w:color w:val="FF0000"/>
              </w:rPr>
            </w:pPr>
            <w:proofErr w:type="gramStart"/>
            <w:r>
              <w:rPr>
                <w:color w:val="auto"/>
              </w:rPr>
              <w:t xml:space="preserve">Объем отгруженных товаров собственного производства, выполненных работ и услуг собственными силами, по виду деятельности, относящимся к промышленному производству по крупным и средним предприятиям </w:t>
            </w:r>
            <w:proofErr w:type="gramEnd"/>
          </w:p>
        </w:tc>
        <w:tc>
          <w:tcPr>
            <w:tcW w:w="1276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noWrap/>
          </w:tcPr>
          <w:p w:rsidR="0025767E" w:rsidRDefault="0025767E">
            <w:pPr>
              <w:jc w:val="center"/>
              <w:rPr>
                <w:color w:val="FF0000"/>
                <w:vertAlign w:val="superscript"/>
              </w:rPr>
            </w:pPr>
          </w:p>
        </w:tc>
      </w:tr>
      <w:tr w:rsidR="0025767E">
        <w:trPr>
          <w:trHeight w:val="919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Раздел</w:t>
            </w:r>
            <w:proofErr w:type="gramStart"/>
            <w:r>
              <w:rPr>
                <w:color w:val="auto"/>
              </w:rPr>
              <w:t xml:space="preserve"> В</w:t>
            </w:r>
            <w:proofErr w:type="gramEnd"/>
            <w:r>
              <w:rPr>
                <w:color w:val="auto"/>
              </w:rPr>
              <w:t>: добыча полезных ископаемых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  <w:vertAlign w:val="superscript"/>
              </w:rPr>
              <w:t>1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36 267,5</w:t>
            </w:r>
            <w:r>
              <w:rPr>
                <w:color w:val="auto"/>
                <w:vertAlign w:val="superscript"/>
              </w:rPr>
              <w:t>2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Темп роста – раздел</w:t>
            </w:r>
            <w:proofErr w:type="gramStart"/>
            <w:r>
              <w:rPr>
                <w:color w:val="auto"/>
              </w:rPr>
              <w:t xml:space="preserve"> В</w:t>
            </w:r>
            <w:proofErr w:type="gramEnd"/>
            <w:r>
              <w:rPr>
                <w:color w:val="auto"/>
              </w:rPr>
              <w:t>: добыча полезных ископаемых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 xml:space="preserve"> % </w:t>
            </w: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83,0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71,4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100,1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Раздел C: обрабатывающие производства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1 800,1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3 955,5</w:t>
            </w:r>
            <w:r>
              <w:rPr>
                <w:color w:val="auto"/>
                <w:vertAlign w:val="superscript"/>
              </w:rPr>
              <w:t>2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Темп роста – раздел C: обрабатывающие производства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 xml:space="preserve"> % </w:t>
            </w: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103,4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102,0</w:t>
            </w:r>
            <w:r>
              <w:rPr>
                <w:color w:val="auto"/>
                <w:vertAlign w:val="superscript"/>
              </w:rPr>
              <w:t>2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1 421,0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1 388,4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3 379,2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Темп роста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 xml:space="preserve"> % </w:t>
            </w: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59,1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97,7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119,3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rFonts w:eastAsia="Arial Unicode MS"/>
                <w:color w:val="auto"/>
              </w:rPr>
              <w:t>Раздел E: водоснабжение; водоотведение, организация сбора и утилизации отходов, деятельность по ликвидации загрязне</w:t>
            </w:r>
            <w:r>
              <w:rPr>
                <w:rFonts w:eastAsia="Arial Unicode MS"/>
                <w:color w:val="auto"/>
              </w:rPr>
              <w:t>ний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ind w:left="-1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162,7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153,3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254,3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Темп роста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ind w:left="-18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 xml:space="preserve"> % </w:t>
            </w: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70,1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94,2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94,2</w:t>
            </w: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b/>
                <w:bCs/>
                <w:color w:val="FF0000"/>
              </w:rPr>
            </w:pPr>
            <w:r>
              <w:rPr>
                <w:b/>
                <w:color w:val="auto"/>
              </w:rPr>
              <w:t>3. Рынок товаров и услуг</w:t>
            </w:r>
          </w:p>
        </w:tc>
        <w:tc>
          <w:tcPr>
            <w:tcW w:w="1984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noWrap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</w:tr>
      <w:tr w:rsidR="0025767E">
        <w:trPr>
          <w:trHeight w:val="300"/>
        </w:trPr>
        <w:tc>
          <w:tcPr>
            <w:tcW w:w="3793" w:type="dxa"/>
            <w:noWrap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Оборот розничной торговли </w:t>
            </w:r>
          </w:p>
        </w:tc>
        <w:tc>
          <w:tcPr>
            <w:tcW w:w="1984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2 467,0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  <w:noWrap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2 895,2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  <w:noWrap/>
          </w:tcPr>
          <w:p w:rsidR="0025767E" w:rsidRDefault="004E32DF">
            <w:pPr>
              <w:ind w:left="-98" w:right="-113"/>
              <w:jc w:val="center"/>
              <w:rPr>
                <w:color w:val="auto"/>
              </w:rPr>
            </w:pPr>
            <w:r>
              <w:rPr>
                <w:color w:val="auto"/>
              </w:rPr>
              <w:t>5 010,2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259"/>
        </w:trPr>
        <w:tc>
          <w:tcPr>
            <w:tcW w:w="3793" w:type="dxa"/>
            <w:shd w:val="clear" w:color="auto" w:fill="auto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Оборот общественного питания </w:t>
            </w:r>
          </w:p>
        </w:tc>
        <w:tc>
          <w:tcPr>
            <w:tcW w:w="1984" w:type="dxa"/>
            <w:shd w:val="clear" w:color="auto" w:fill="auto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445,8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82,4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67E" w:rsidRDefault="004E32DF">
            <w:pPr>
              <w:ind w:left="-98" w:right="-113"/>
              <w:jc w:val="center"/>
              <w:rPr>
                <w:color w:val="auto"/>
              </w:rPr>
            </w:pPr>
            <w:r>
              <w:rPr>
                <w:color w:val="auto"/>
              </w:rPr>
              <w:t>1 230,6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259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Объем платных услуг населению 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225,5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231,9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5767E" w:rsidRDefault="004E32DF">
            <w:pPr>
              <w:ind w:left="-98" w:right="-113"/>
              <w:jc w:val="center"/>
              <w:rPr>
                <w:color w:val="auto"/>
              </w:rPr>
            </w:pPr>
            <w:r>
              <w:rPr>
                <w:color w:val="auto"/>
              </w:rPr>
              <w:t>1 562,6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259"/>
        </w:trPr>
        <w:tc>
          <w:tcPr>
            <w:tcW w:w="3793" w:type="dxa"/>
          </w:tcPr>
          <w:p w:rsidR="0025767E" w:rsidRDefault="004E32DF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4. Малое и среднее предпринимательство</w:t>
            </w:r>
          </w:p>
        </w:tc>
        <w:tc>
          <w:tcPr>
            <w:tcW w:w="198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</w:tr>
      <w:tr w:rsidR="0025767E">
        <w:trPr>
          <w:trHeight w:val="259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Количество малых предприятий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148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149</w:t>
            </w:r>
          </w:p>
        </w:tc>
      </w:tr>
      <w:tr w:rsidR="0025767E">
        <w:trPr>
          <w:trHeight w:val="259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Численность индивидуальных предпринимателей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612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684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708</w:t>
            </w:r>
          </w:p>
        </w:tc>
      </w:tr>
      <w:tr w:rsidR="0025767E">
        <w:trPr>
          <w:trHeight w:val="286"/>
        </w:trPr>
        <w:tc>
          <w:tcPr>
            <w:tcW w:w="3793" w:type="dxa"/>
          </w:tcPr>
          <w:p w:rsidR="0025767E" w:rsidRDefault="004E32DF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5. Инвестиции и строительство</w:t>
            </w:r>
          </w:p>
        </w:tc>
        <w:tc>
          <w:tcPr>
            <w:tcW w:w="198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</w:tr>
      <w:tr w:rsidR="0025767E">
        <w:trPr>
          <w:trHeight w:val="630"/>
        </w:trPr>
        <w:tc>
          <w:tcPr>
            <w:tcW w:w="3793" w:type="dxa"/>
          </w:tcPr>
          <w:p w:rsidR="0025767E" w:rsidRDefault="004E32DF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1 454,0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2 638,5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11 695,0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63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</w:t>
            </w:r>
            <w:r>
              <w:rPr>
                <w:color w:val="auto"/>
              </w:rPr>
              <w:t>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1 514,3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2 755,9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5767E" w:rsidRDefault="004E32DF">
            <w:pPr>
              <w:ind w:left="-103" w:right="-110"/>
              <w:jc w:val="center"/>
              <w:rPr>
                <w:color w:val="FF0000"/>
              </w:rPr>
            </w:pPr>
            <w:r>
              <w:rPr>
                <w:color w:val="auto"/>
              </w:rPr>
              <w:t>14 013,1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из них:</w:t>
            </w:r>
          </w:p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бюджетные средства</w:t>
            </w:r>
          </w:p>
          <w:p w:rsidR="0025767E" w:rsidRDefault="0025767E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60,3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117,4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318,1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собственные средства предприятий</w:t>
            </w:r>
          </w:p>
          <w:p w:rsidR="0025767E" w:rsidRDefault="0025767E">
            <w:pPr>
              <w:rPr>
                <w:color w:val="auto"/>
              </w:rPr>
            </w:pPr>
          </w:p>
          <w:p w:rsidR="0025767E" w:rsidRDefault="0025767E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1 449,8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2 632,5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13 608,5</w:t>
            </w:r>
            <w:r>
              <w:rPr>
                <w:color w:val="auto"/>
                <w:vertAlign w:val="superscript"/>
              </w:rPr>
              <w:t>4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b/>
                <w:color w:val="FF0000"/>
              </w:rPr>
            </w:pPr>
            <w:r>
              <w:rPr>
                <w:b/>
                <w:color w:val="auto"/>
              </w:rPr>
              <w:t>6. Сальдированный финансовый результат (прибыль, убыток) деятельности крупных и средних предприятий</w:t>
            </w:r>
            <w:r>
              <w:rPr>
                <w:b/>
                <w:color w:val="FFFFFF" w:themeColor="background1"/>
                <w:vertAlign w:val="superscript"/>
              </w:rPr>
              <w:footnoteReference w:id="1"/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млн. руб.</w:t>
            </w:r>
          </w:p>
          <w:p w:rsidR="0025767E" w:rsidRDefault="004E32DF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в ценах </w:t>
            </w:r>
            <w:proofErr w:type="spellStart"/>
            <w:proofErr w:type="gramStart"/>
            <w:r>
              <w:rPr>
                <w:color w:val="auto"/>
              </w:rPr>
              <w:t>соответст-вующих</w:t>
            </w:r>
            <w:proofErr w:type="spellEnd"/>
            <w:proofErr w:type="gramEnd"/>
            <w:r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2 314,6</w:t>
            </w:r>
          </w:p>
        </w:tc>
        <w:tc>
          <w:tcPr>
            <w:tcW w:w="1276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-1 968,4</w:t>
            </w:r>
          </w:p>
        </w:tc>
        <w:tc>
          <w:tcPr>
            <w:tcW w:w="1134" w:type="dxa"/>
          </w:tcPr>
          <w:p w:rsidR="0025767E" w:rsidRDefault="004E32DF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3 449,8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>7. Труд и занятость</w:t>
            </w:r>
          </w:p>
        </w:tc>
        <w:tc>
          <w:tcPr>
            <w:tcW w:w="198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5767E" w:rsidRDefault="0025767E">
            <w:pPr>
              <w:jc w:val="center"/>
              <w:rPr>
                <w:color w:val="FF0000"/>
              </w:rPr>
            </w:pP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Численность населения в трудоспособном возрасте (среднегодовая)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</w:t>
            </w:r>
            <w:r>
              <w:rPr>
                <w:color w:val="auto"/>
              </w:rPr>
              <w:t>ыс. 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18,632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0,120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</w:tr>
      <w:tr w:rsidR="0025767E">
        <w:trPr>
          <w:trHeight w:val="170"/>
        </w:trPr>
        <w:tc>
          <w:tcPr>
            <w:tcW w:w="3793" w:type="dxa"/>
          </w:tcPr>
          <w:p w:rsidR="0025767E" w:rsidRDefault="004E32DF">
            <w:pPr>
              <w:rPr>
                <w:color w:val="auto"/>
              </w:rPr>
            </w:pPr>
            <w:r>
              <w:rPr>
                <w:color w:val="auto"/>
              </w:rPr>
              <w:t xml:space="preserve">Среднесписочная численность работников организаций (без субъектов малого предпринимательства) </w:t>
            </w:r>
          </w:p>
        </w:tc>
        <w:tc>
          <w:tcPr>
            <w:tcW w:w="1984" w:type="dxa"/>
          </w:tcPr>
          <w:p w:rsidR="0025767E" w:rsidRDefault="004E32D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>
              <w:rPr>
                <w:color w:val="auto"/>
              </w:rPr>
              <w:t>,</w:t>
            </w:r>
            <w:r>
              <w:rPr>
                <w:color w:val="auto"/>
                <w:lang w:val="en-US"/>
              </w:rPr>
              <w:t>192</w:t>
            </w:r>
          </w:p>
        </w:tc>
        <w:tc>
          <w:tcPr>
            <w:tcW w:w="1276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9,438</w:t>
            </w:r>
          </w:p>
        </w:tc>
        <w:tc>
          <w:tcPr>
            <w:tcW w:w="1134" w:type="dxa"/>
          </w:tcPr>
          <w:p w:rsidR="0025767E" w:rsidRDefault="004E32DF">
            <w:pPr>
              <w:ind w:left="-111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9,438</w:t>
            </w:r>
          </w:p>
        </w:tc>
      </w:tr>
    </w:tbl>
    <w:p w:rsidR="0025767E" w:rsidRDefault="0025767E">
      <w:pPr>
        <w:pStyle w:val="aff"/>
        <w:jc w:val="both"/>
      </w:pPr>
    </w:p>
    <w:p w:rsidR="0025767E" w:rsidRDefault="004E32DF">
      <w:pPr>
        <w:pStyle w:val="aff"/>
        <w:jc w:val="both"/>
      </w:pPr>
      <w:r>
        <w:rPr>
          <w:vertAlign w:val="superscript"/>
        </w:rPr>
        <w:t>1</w:t>
      </w:r>
      <w:r>
        <w:t xml:space="preserve"> Администрация </w:t>
      </w:r>
      <w:proofErr w:type="spellStart"/>
      <w:r>
        <w:t>Печенгского</w:t>
      </w:r>
      <w:proofErr w:type="spellEnd"/>
      <w:r>
        <w:t xml:space="preserve"> муниципального округа данными не располагает. Сведения </w:t>
      </w:r>
      <w:proofErr w:type="spellStart"/>
      <w:r>
        <w:t>Мурманскстатом</w:t>
      </w:r>
      <w:proofErr w:type="spellEnd"/>
      <w:r>
        <w:t xml:space="preserve"> не публикуются в целях обеспе</w:t>
      </w:r>
      <w:r>
        <w:t xml:space="preserve">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учёте и системе государственной статистики в Российской Федерации» (ст. 4 п. 5; </w:t>
      </w:r>
      <w:r>
        <w:t>ст. 9 п. 1).</w:t>
      </w:r>
    </w:p>
    <w:p w:rsidR="0025767E" w:rsidRDefault="0025767E">
      <w:pPr>
        <w:pStyle w:val="aff"/>
        <w:jc w:val="both"/>
      </w:pPr>
    </w:p>
    <w:p w:rsidR="0025767E" w:rsidRDefault="004E32DF">
      <w:pPr>
        <w:pStyle w:val="aff"/>
        <w:jc w:val="both"/>
      </w:pPr>
      <w:r>
        <w:rPr>
          <w:vertAlign w:val="superscript"/>
        </w:rPr>
        <w:t xml:space="preserve">2 </w:t>
      </w:r>
      <w:r>
        <w:t>Статистические данные отсутствуют. При расчете применена экспертная оценка.</w:t>
      </w:r>
    </w:p>
    <w:p w:rsidR="0025767E" w:rsidRDefault="0025767E">
      <w:pPr>
        <w:pStyle w:val="aff"/>
        <w:jc w:val="both"/>
      </w:pPr>
    </w:p>
    <w:p w:rsidR="0025767E" w:rsidRDefault="004E32DF">
      <w:pPr>
        <w:pStyle w:val="aff"/>
        <w:jc w:val="both"/>
      </w:pPr>
      <w:proofErr w:type="gramStart"/>
      <w:r>
        <w:rPr>
          <w:vertAlign w:val="superscript"/>
        </w:rPr>
        <w:t>3</w:t>
      </w:r>
      <w:r>
        <w:t xml:space="preserve">По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>
        <w:t>некредитных</w:t>
      </w:r>
      <w:proofErr w:type="spellEnd"/>
      <w:r>
        <w:t xml:space="preserve"> финансовых органи</w:t>
      </w:r>
      <w:r>
        <w:t>заций, а также организаций, у которых в течение двух предыдущих лет средняя численность работников не превышает 15 человек, включая работающих по совместительству и договорам  гражданско-правового характера, и в течение двух предыдущих лет годовой оборот о</w:t>
      </w:r>
      <w:r>
        <w:t>рганизации не превышает 800 млн. рублей.</w:t>
      </w:r>
      <w:proofErr w:type="gramEnd"/>
    </w:p>
    <w:p w:rsidR="0025767E" w:rsidRDefault="0025767E">
      <w:pPr>
        <w:jc w:val="both"/>
        <w:rPr>
          <w:color w:val="FF0000"/>
        </w:rPr>
      </w:pPr>
    </w:p>
    <w:p w:rsidR="0025767E" w:rsidRDefault="004E32DF">
      <w:pPr>
        <w:jc w:val="both"/>
      </w:pPr>
      <w:r>
        <w:rPr>
          <w:vertAlign w:val="superscript"/>
        </w:rPr>
        <w:t>4</w:t>
      </w:r>
      <w:r>
        <w:t xml:space="preserve">При </w:t>
      </w:r>
      <w:proofErr w:type="gramStart"/>
      <w:r>
        <w:t>расчете</w:t>
      </w:r>
      <w:proofErr w:type="gramEnd"/>
      <w:r>
        <w:t xml:space="preserve"> применена экспертная оценка с учетом </w:t>
      </w:r>
      <w:proofErr w:type="spellStart"/>
      <w:r>
        <w:t>досчета</w:t>
      </w:r>
      <w:proofErr w:type="spellEnd"/>
      <w:r>
        <w:t xml:space="preserve"> по субъектам малого предпринимательства.</w:t>
      </w:r>
    </w:p>
    <w:p w:rsidR="0025767E" w:rsidRDefault="004E32DF">
      <w:pPr>
        <w:widowControl w:val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ПОЯСНИТЕЛЬНАЯ ЗАПИСКА</w:t>
      </w:r>
    </w:p>
    <w:p w:rsidR="0025767E" w:rsidRDefault="004E32DF">
      <w:pPr>
        <w:widowControl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предварительным итогам социально-экономического развития</w:t>
      </w:r>
    </w:p>
    <w:p w:rsidR="0025767E" w:rsidRDefault="004E32DF">
      <w:pPr>
        <w:widowControl w:val="0"/>
        <w:jc w:val="center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в 1 полугодии 2024 года и ожидаемым итогам социально-экономического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за 2024 год</w:t>
      </w:r>
    </w:p>
    <w:p w:rsidR="0025767E" w:rsidRDefault="0025767E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25767E" w:rsidRDefault="0025767E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25767E" w:rsidRDefault="004E32DF">
      <w:pPr>
        <w:pStyle w:val="ac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Демографические показатели</w:t>
      </w:r>
    </w:p>
    <w:p w:rsidR="0025767E" w:rsidRDefault="0025767E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25767E" w:rsidRDefault="004E32DF">
      <w:pPr>
        <w:pStyle w:val="Default"/>
        <w:ind w:firstLine="851"/>
        <w:jc w:val="both"/>
        <w:rPr>
          <w:color w:val="auto"/>
          <w:highlight w:val="yellow"/>
        </w:rPr>
      </w:pPr>
      <w:r>
        <w:rPr>
          <w:color w:val="auto"/>
        </w:rPr>
        <w:t xml:space="preserve">Демографическая ситуация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в 2023 году характеризовалась естественной и миграционной убылью населения. </w:t>
      </w:r>
    </w:p>
    <w:p w:rsidR="0025767E" w:rsidRDefault="004E32D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По данным Росстата в 2023 году родилось 262 ребенка, что на 13,5 % (41 ребенка) меньше, чем в 2022 году. </w:t>
      </w:r>
      <w:proofErr w:type="gramStart"/>
      <w:r>
        <w:rPr>
          <w:color w:val="auto"/>
        </w:rPr>
        <w:t>Численность новорожденных в городских населенных пун</w:t>
      </w:r>
      <w:r>
        <w:rPr>
          <w:color w:val="auto"/>
        </w:rPr>
        <w:t>ктах округа в 2023 году составила 250 человек, в сельских – 12 (в 2022 году – 281 и 22 человека соответственно).</w:t>
      </w:r>
      <w:proofErr w:type="gramEnd"/>
      <w:r>
        <w:rPr>
          <w:color w:val="auto"/>
        </w:rPr>
        <w:t xml:space="preserve"> Показатель рождаемости составил 8,7 </w:t>
      </w:r>
      <w:proofErr w:type="gramStart"/>
      <w:r>
        <w:rPr>
          <w:color w:val="auto"/>
        </w:rPr>
        <w:t>родившихся</w:t>
      </w:r>
      <w:proofErr w:type="gramEnd"/>
      <w:r>
        <w:rPr>
          <w:color w:val="auto"/>
        </w:rPr>
        <w:t xml:space="preserve"> в расчёте на 1 000 населения (аналогичный показатель 2022 года – 9,7 родившихся в расчёте на 100</w:t>
      </w:r>
      <w:r>
        <w:rPr>
          <w:color w:val="auto"/>
        </w:rPr>
        <w:t xml:space="preserve">0 населения), и, как и в 2022 году, остается выше уровня </w:t>
      </w:r>
      <w:proofErr w:type="spellStart"/>
      <w:r>
        <w:rPr>
          <w:color w:val="auto"/>
        </w:rPr>
        <w:t>среднеобластного</w:t>
      </w:r>
      <w:proofErr w:type="spellEnd"/>
      <w:r>
        <w:rPr>
          <w:color w:val="auto"/>
        </w:rPr>
        <w:t xml:space="preserve"> значения (8,3).  </w:t>
      </w:r>
    </w:p>
    <w:p w:rsidR="0025767E" w:rsidRDefault="004E32DF">
      <w:pPr>
        <w:pStyle w:val="Default"/>
        <w:ind w:firstLine="851"/>
        <w:jc w:val="both"/>
        <w:rPr>
          <w:color w:val="FF0000"/>
        </w:rPr>
      </w:pPr>
      <w:r>
        <w:rPr>
          <w:color w:val="auto"/>
        </w:rPr>
        <w:t xml:space="preserve">Средний возраст матери при рождении ребенка в 2023 году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составил 28 лет, суммарный коэффициент рождаемости</w:t>
      </w:r>
      <w:r>
        <w:rPr>
          <w:color w:val="1A1A1A"/>
          <w:spacing w:val="-6"/>
          <w:shd w:val="clear" w:color="auto" w:fill="FFFFFF"/>
        </w:rPr>
        <w:t> (число детей, рожденных</w:t>
      </w:r>
      <w:r>
        <w:rPr>
          <w:color w:val="1A1A1A"/>
          <w:spacing w:val="-6"/>
          <w:shd w:val="clear" w:color="auto" w:fill="FFFFFF"/>
        </w:rPr>
        <w:t xml:space="preserve"> в среднем одной женщиной за всю жизнь)</w:t>
      </w:r>
      <w:r>
        <w:rPr>
          <w:color w:val="auto"/>
        </w:rPr>
        <w:t xml:space="preserve"> превысил областной (1,45) и составил 1,53.</w:t>
      </w:r>
    </w:p>
    <w:p w:rsidR="0025767E" w:rsidRDefault="004E32DF">
      <w:pPr>
        <w:pStyle w:val="Default"/>
        <w:ind w:firstLine="851"/>
        <w:jc w:val="both"/>
        <w:rPr>
          <w:color w:val="FF0000"/>
        </w:rPr>
      </w:pPr>
      <w:r>
        <w:rPr>
          <w:color w:val="auto"/>
        </w:rPr>
        <w:t xml:space="preserve">В 2023 году умерло 374 человека, что выше уровня предыдущего года на 7,8 % (347 смертей в 2022 году). Смертность среди городского населения округа в 2023 году составила 359 </w:t>
      </w:r>
      <w:r>
        <w:rPr>
          <w:color w:val="auto"/>
        </w:rPr>
        <w:t xml:space="preserve">человек, сельского – 15 человек (в 2022 году – 339 и 8 смертей соответственно). Общий коэффициент смертности в 2023 году составил 12,4 </w:t>
      </w:r>
      <w:proofErr w:type="gramStart"/>
      <w:r>
        <w:rPr>
          <w:color w:val="auto"/>
        </w:rPr>
        <w:t>умерших</w:t>
      </w:r>
      <w:proofErr w:type="gramEnd"/>
      <w:r>
        <w:rPr>
          <w:color w:val="auto"/>
        </w:rPr>
        <w:t xml:space="preserve"> на 1 000 населения (в 2022 году – 11,1), что ниже уровня </w:t>
      </w:r>
      <w:proofErr w:type="spellStart"/>
      <w:r>
        <w:rPr>
          <w:color w:val="auto"/>
        </w:rPr>
        <w:t>среднеобластного</w:t>
      </w:r>
      <w:proofErr w:type="spellEnd"/>
      <w:r>
        <w:rPr>
          <w:color w:val="auto"/>
        </w:rPr>
        <w:t xml:space="preserve"> значения (12,7). </w:t>
      </w:r>
    </w:p>
    <w:p w:rsidR="0025767E" w:rsidRDefault="004E32DF">
      <w:pPr>
        <w:pStyle w:val="Default"/>
        <w:ind w:firstLine="851"/>
        <w:jc w:val="both"/>
        <w:rPr>
          <w:color w:val="FF0000"/>
        </w:rPr>
      </w:pPr>
      <w:r>
        <w:rPr>
          <w:color w:val="auto"/>
        </w:rPr>
        <w:t>По итогам 2023 года н</w:t>
      </w:r>
      <w:r>
        <w:rPr>
          <w:color w:val="auto"/>
        </w:rPr>
        <w:t xml:space="preserve">а территории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четвертый год подряд после более чем десятилетнего периода естественного прироста, отмечается естественная убыль населения  – 112 человек (в 2022 году – -44 человека). При этом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показатель естественной убыли г</w:t>
      </w:r>
      <w:r>
        <w:rPr>
          <w:color w:val="auto"/>
        </w:rPr>
        <w:t xml:space="preserve">ородского населения – 109 человек, сельского – 3 человека. Коэффициент естественной убыли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за 2023 год составил 3,7 человека на 1 000 населения, против аналогичного показателя за 2022 год, равного 1,4 человека на </w:t>
      </w:r>
      <w:r>
        <w:rPr>
          <w:color w:val="auto"/>
        </w:rPr>
        <w:t xml:space="preserve">1 000 населения. </w:t>
      </w:r>
    </w:p>
    <w:p w:rsidR="0025767E" w:rsidRDefault="004E32DF">
      <w:pPr>
        <w:pStyle w:val="Default"/>
        <w:ind w:firstLine="851"/>
        <w:jc w:val="both"/>
        <w:rPr>
          <w:color w:val="FF0000"/>
        </w:rPr>
      </w:pPr>
      <w:r>
        <w:rPr>
          <w:color w:val="auto"/>
        </w:rPr>
        <w:t xml:space="preserve">В 2023 году отмечено замедление миграционной убыли населения. В </w:t>
      </w:r>
      <w:proofErr w:type="spellStart"/>
      <w:r>
        <w:rPr>
          <w:color w:val="auto"/>
        </w:rPr>
        <w:t>Печенгский</w:t>
      </w:r>
      <w:proofErr w:type="spellEnd"/>
      <w:r>
        <w:rPr>
          <w:color w:val="auto"/>
        </w:rPr>
        <w:t xml:space="preserve"> муниципальный округ в 2023 году прибыло 868 человек ‒ на 7,4 % (69 человек) меньше, чем в 2022 году, убыло 1 715 человек ‒ на 15,8 % (323 человека) меньше, чем в 2</w:t>
      </w:r>
      <w:r>
        <w:rPr>
          <w:color w:val="auto"/>
        </w:rPr>
        <w:t>022 году. Показатель миграционной убыли, как и в 2022 году, сложился в основном за счет населения в трудоспособном возрасте.  Коэффициент миграционной убыли снизился с 35,3 в 2022 году до -28,1 человек на 1000 населения в 2023 году.</w:t>
      </w:r>
    </w:p>
    <w:p w:rsidR="0025767E" w:rsidRDefault="004E32D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Миграционная и естестве</w:t>
      </w:r>
      <w:r>
        <w:rPr>
          <w:color w:val="auto"/>
        </w:rPr>
        <w:t xml:space="preserve">нная убыли обусловили дальнейшее сокращение численности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округа. Среднегодовая численность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в 2023 году составила 30 112 человек, численность населения на 1 января 2024 года сос</w:t>
      </w:r>
      <w:r>
        <w:rPr>
          <w:color w:val="auto"/>
        </w:rPr>
        <w:t xml:space="preserve">тавила 29 632 человека. </w:t>
      </w:r>
    </w:p>
    <w:p w:rsidR="0025767E" w:rsidRDefault="004E32D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По предварительным данным в 1 полугодии 2024 года родилось 123 ребенка (за аналогичный период 2023 года – 141 ребенок). Коэффициент рождаемости составил 8,3 </w:t>
      </w:r>
      <w:proofErr w:type="gramStart"/>
      <w:r>
        <w:rPr>
          <w:color w:val="auto"/>
        </w:rPr>
        <w:t>родившихся</w:t>
      </w:r>
      <w:proofErr w:type="gramEnd"/>
      <w:r>
        <w:rPr>
          <w:color w:val="auto"/>
        </w:rPr>
        <w:t xml:space="preserve"> на 1000 населения (в январе – июне 2023 года – 9,3). В целом за</w:t>
      </w:r>
      <w:r>
        <w:rPr>
          <w:color w:val="auto"/>
        </w:rPr>
        <w:t xml:space="preserve"> год общее число рождений ожидается на уровне 248 человек, а коэффициент рождаемости составит 2024 году 8,5 родившихся на 1000 населения. </w:t>
      </w:r>
    </w:p>
    <w:p w:rsidR="0025767E" w:rsidRDefault="004E32D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В связи со стабильной эпидемиологической ситуацией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наблюдается снижение смертности </w:t>
      </w:r>
      <w:r>
        <w:rPr>
          <w:color w:val="auto"/>
        </w:rPr>
        <w:t xml:space="preserve">населения. Число умерших в 1 полугодии 2024 года составило 153 человека (в аналогичном периоде 2023 года – 205 человек). Коэффициент смертности составил 10,3 </w:t>
      </w:r>
      <w:proofErr w:type="gramStart"/>
      <w:r>
        <w:rPr>
          <w:color w:val="auto"/>
        </w:rPr>
        <w:t>умерших</w:t>
      </w:r>
      <w:proofErr w:type="gramEnd"/>
      <w:r>
        <w:rPr>
          <w:color w:val="auto"/>
        </w:rPr>
        <w:t xml:space="preserve"> на 1000 населения против 13,5 </w:t>
      </w:r>
      <w:r>
        <w:rPr>
          <w:color w:val="auto"/>
        </w:rPr>
        <w:lastRenderedPageBreak/>
        <w:t>в январе – июне 2023 года. В целом в 2024 году смертность ож</w:t>
      </w:r>
      <w:r>
        <w:rPr>
          <w:color w:val="auto"/>
        </w:rPr>
        <w:t xml:space="preserve">идается на уровне 311 человек или 10,7 умерших на 1000 населения (в 2023 году – 12,4). </w:t>
      </w:r>
    </w:p>
    <w:p w:rsidR="0025767E" w:rsidRDefault="004E32DF">
      <w:pPr>
        <w:pStyle w:val="Default"/>
        <w:ind w:firstLine="709"/>
        <w:jc w:val="both"/>
        <w:rPr>
          <w:color w:val="auto"/>
          <w:highlight w:val="yellow"/>
        </w:rPr>
      </w:pPr>
      <w:proofErr w:type="gramStart"/>
      <w:r>
        <w:rPr>
          <w:color w:val="auto"/>
        </w:rPr>
        <w:t xml:space="preserve">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отмечается снижение естественной убыли населения, которая по итогам 1 полугодия 2024 года составила 30 человек и сократилась в сравнен</w:t>
      </w:r>
      <w:r>
        <w:rPr>
          <w:color w:val="auto"/>
        </w:rPr>
        <w:t>ии с аналогичным периода прошлого года на 34 человека (64 человека в 1 полугодии 2023 года).</w:t>
      </w:r>
      <w:proofErr w:type="gramEnd"/>
      <w:r>
        <w:rPr>
          <w:color w:val="auto"/>
        </w:rPr>
        <w:t xml:space="preserve"> Коэффициент естественной убыли составил -2,0 человека на 1000 населения (в 1 полугодии 2023 года – -4,2). </w:t>
      </w:r>
      <w:proofErr w:type="gramStart"/>
      <w:r>
        <w:rPr>
          <w:color w:val="auto"/>
        </w:rPr>
        <w:t>На конец</w:t>
      </w:r>
      <w:proofErr w:type="gramEnd"/>
      <w:r>
        <w:rPr>
          <w:color w:val="auto"/>
        </w:rPr>
        <w:t xml:space="preserve"> 2024 года естественная убыль ожидается на уровне</w:t>
      </w:r>
      <w:r>
        <w:rPr>
          <w:color w:val="auto"/>
        </w:rPr>
        <w:t xml:space="preserve"> 63 человек. Коэффициент естественной убыли составит –2,2.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Миграционная убыль населения за 1 полугодие 2024 года по сравнению с аналогичным периодом 2023 года возросла на 12,9 %, и составила 376 человек (прибыло 395 человек, убыл 771 человек, против 429 и</w:t>
      </w:r>
      <w:r>
        <w:rPr>
          <w:color w:val="auto"/>
        </w:rPr>
        <w:t xml:space="preserve"> 762 человек соответственно в 1 полугодии 2023 года). По сравнению с аналогичным периодом 2023 года прибыло на 7,9 % меньше, а  уехало - на 1,2 % больше. В целом за 2024 год ожидается миграционная убыль на уровне -850 человек, из них в трудоспособном возра</w:t>
      </w:r>
      <w:r>
        <w:rPr>
          <w:color w:val="auto"/>
        </w:rPr>
        <w:t xml:space="preserve">сте – 588 человек. Коэффициент миграционной убыли составит -29,1 человек на 1000 населения (-28,1 – в 2023 году).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среднем за 2024 год ожидаемая численность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составит 29 176 человек, или 96,9 % к уровню 2023 год</w:t>
      </w:r>
      <w:r>
        <w:rPr>
          <w:color w:val="auto"/>
        </w:rPr>
        <w:t xml:space="preserve">а. </w:t>
      </w:r>
    </w:p>
    <w:p w:rsidR="0025767E" w:rsidRDefault="0025767E">
      <w:pPr>
        <w:pStyle w:val="Default"/>
        <w:ind w:firstLine="709"/>
        <w:jc w:val="both"/>
        <w:rPr>
          <w:color w:val="FF0000"/>
        </w:rPr>
      </w:pPr>
    </w:p>
    <w:p w:rsidR="0025767E" w:rsidRDefault="0025767E">
      <w:pPr>
        <w:pStyle w:val="Default"/>
        <w:ind w:firstLine="709"/>
        <w:jc w:val="both"/>
        <w:rPr>
          <w:color w:val="FF0000"/>
          <w:highlight w:val="yellow"/>
        </w:rPr>
      </w:pPr>
    </w:p>
    <w:p w:rsidR="0025767E" w:rsidRDefault="004E32DF">
      <w:pPr>
        <w:pStyle w:val="ac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25767E" w:rsidRDefault="0025767E">
      <w:pPr>
        <w:jc w:val="center"/>
        <w:rPr>
          <w:b/>
          <w:color w:val="FF0000"/>
          <w:sz w:val="24"/>
          <w:szCs w:val="24"/>
        </w:rPr>
      </w:pP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2.1. Промышленное производство</w:t>
      </w:r>
    </w:p>
    <w:p w:rsidR="0025767E" w:rsidRDefault="0025767E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8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Основой экономики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является АО «Кольская ГМК».</w:t>
      </w:r>
      <w:proofErr w:type="gramEnd"/>
    </w:p>
    <w:p w:rsidR="0025767E" w:rsidRDefault="004E32DF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2023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муниципальному округу составили 43 212,0 млн. рублей (106,9 % от уровня 2022 года). </w:t>
      </w:r>
    </w:p>
    <w:p w:rsidR="0025767E" w:rsidRDefault="004E32DF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Присутствие на территории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производственных мощностей АО «Кольская ГМК» по-прежнему оказывает значительное влияние на динамику объемов производства смежных и обслуживающих отраслей, так как градообразующее предприятие является основным заказчиком пр</w:t>
      </w:r>
      <w:r>
        <w:rPr>
          <w:color w:val="auto"/>
          <w:sz w:val="24"/>
          <w:szCs w:val="24"/>
        </w:rPr>
        <w:t xml:space="preserve">одукции, работ и услуг у предприятий промышленного и строительного комплекса, расположенных на территории округа. 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предварительной оценке, объемы промышленного производства, выполнение работ и услуг собственными силами предприятий и организаций по </w:t>
      </w:r>
      <w:proofErr w:type="spellStart"/>
      <w:r>
        <w:rPr>
          <w:color w:val="auto"/>
          <w:sz w:val="24"/>
          <w:szCs w:val="24"/>
        </w:rPr>
        <w:t>Печен</w:t>
      </w:r>
      <w:r>
        <w:rPr>
          <w:color w:val="auto"/>
          <w:sz w:val="24"/>
          <w:szCs w:val="24"/>
        </w:rPr>
        <w:t>гскому</w:t>
      </w:r>
      <w:proofErr w:type="spellEnd"/>
      <w:r>
        <w:rPr>
          <w:color w:val="auto"/>
          <w:sz w:val="24"/>
          <w:szCs w:val="24"/>
        </w:rPr>
        <w:t xml:space="preserve"> муниципальному округу за 2024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год составят 43 856,5 млн. рублей, что составляет 101,5%  показателей прошлого года, в том числе:</w:t>
      </w:r>
    </w:p>
    <w:p w:rsidR="0025767E" w:rsidRDefault="004E32DF">
      <w:pPr>
        <w:ind w:firstLine="709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- в соответствии с экспертной оценкой в 2024 году объем отгруженных товаров крупных и средних организаций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муниципальному округу по виду экономической деятельности «Добыча полезных ископаемых» составит 36 267,5 млн. рублей (138,3 % в сравнении с  показателем 2023 года), доля добывающей промышленности в общем объеме промышленного производства – 82,7 %;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соотв</w:t>
      </w:r>
      <w:r>
        <w:rPr>
          <w:color w:val="auto"/>
          <w:sz w:val="24"/>
          <w:szCs w:val="24"/>
        </w:rPr>
        <w:t xml:space="preserve">етствии с экспертной оценкой в 2024 году объем отгруженных товаров крупных и средних организаций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муниципальному округу по виду экономической деятельности «Обрабатывающие производства» составит 3 955,5 млн. рублей, что к уровню аналогичного п</w:t>
      </w:r>
      <w:r>
        <w:rPr>
          <w:color w:val="auto"/>
          <w:sz w:val="24"/>
          <w:szCs w:val="24"/>
        </w:rPr>
        <w:t>ериода прошлого года составляет 102,0 %,</w:t>
      </w:r>
      <w:r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доля обрабатывающей промышленности в общем объеме промышленного производства – 9,0 %;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в 1 полугодии 2024 года объемы отгруженных товаров крупных и средних организаций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муниципальному округу по виду э</w:t>
      </w:r>
      <w:r>
        <w:rPr>
          <w:color w:val="auto"/>
          <w:sz w:val="24"/>
          <w:szCs w:val="24"/>
        </w:rPr>
        <w:t xml:space="preserve">кономической деятельности «Обеспечение электрической энергией, газом и паром; кондиционирование </w:t>
      </w:r>
      <w:r>
        <w:rPr>
          <w:color w:val="auto"/>
          <w:sz w:val="24"/>
          <w:szCs w:val="24"/>
        </w:rPr>
        <w:lastRenderedPageBreak/>
        <w:t>воздуха» достигли 1 388,4 млн. рублей, что к уровню аналогичного периода прошлого года составляет 97,7 %.</w:t>
      </w:r>
    </w:p>
    <w:p w:rsidR="0025767E" w:rsidRDefault="004E32DF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По оценке в 2024 году данный показатель составит 3 379</w:t>
      </w:r>
      <w:r>
        <w:rPr>
          <w:color w:val="auto"/>
          <w:sz w:val="24"/>
          <w:szCs w:val="24"/>
        </w:rPr>
        <w:t>,2 млн. рублей (в ценах соответствующих лет), что выше уровня аналогичного периода прошлого года на 19,3 %, доля производства по обеспечению электрической энергией, газом и паром в общем объеме промышленного производства – 7,7 %. Ожидается рост объема прои</w:t>
      </w:r>
      <w:r>
        <w:rPr>
          <w:color w:val="auto"/>
          <w:sz w:val="24"/>
          <w:szCs w:val="24"/>
        </w:rPr>
        <w:t>зводства тепловой энергии, а также снижение объемов экспортных поставок электроэнергии (что ведет к отрицательному темпу роста реализации);</w:t>
      </w:r>
      <w:proofErr w:type="gramEnd"/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в 1 полугодии 2024 года объемы отгруженных товаров крупных и средних организаций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муниципальному окр</w:t>
      </w:r>
      <w:r>
        <w:rPr>
          <w:color w:val="auto"/>
          <w:sz w:val="24"/>
          <w:szCs w:val="24"/>
        </w:rPr>
        <w:t>угу по виду экономической деятельности «Водоснабжение; водоотведение, организация сбора и утилизация отходов, деятельность по ликвидации загрязнений» составили 153,3 млн. рублей, что к уровню аналогичного периода прошлого года составляет 94,2%.</w:t>
      </w:r>
    </w:p>
    <w:p w:rsidR="0025767E" w:rsidRDefault="004E32DF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оценке в</w:t>
      </w:r>
      <w:r>
        <w:rPr>
          <w:color w:val="auto"/>
          <w:sz w:val="24"/>
          <w:szCs w:val="24"/>
        </w:rPr>
        <w:t xml:space="preserve"> 2024 году объем производства по водоснабжению, водоотведению, организации сбора и утилизации отходов составит 254,3 млн. рублей, что ниже показателя прошлого года на 5,8 %, доля производства по водоснабжению, водоотведению, организации сбора и утилизации </w:t>
      </w:r>
      <w:r>
        <w:rPr>
          <w:color w:val="auto"/>
          <w:sz w:val="24"/>
          <w:szCs w:val="24"/>
        </w:rPr>
        <w:t>отходов в общем объеме промышленного производства –</w:t>
      </w:r>
      <w:r>
        <w:rPr>
          <w:color w:val="auto"/>
          <w:sz w:val="24"/>
          <w:szCs w:val="24"/>
          <w:highlight w:val="yellow"/>
        </w:rPr>
        <w:t xml:space="preserve"> </w:t>
      </w:r>
      <w:r>
        <w:rPr>
          <w:color w:val="auto"/>
          <w:sz w:val="24"/>
          <w:szCs w:val="24"/>
        </w:rPr>
        <w:t>0,6 %.</w:t>
      </w:r>
    </w:p>
    <w:p w:rsidR="0025767E" w:rsidRDefault="0025767E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bookmarkStart w:id="0" w:name="_Toc106522156"/>
      <w:bookmarkStart w:id="1" w:name="_Toc106522206"/>
      <w:bookmarkStart w:id="2" w:name="_Toc106522351"/>
      <w:bookmarkStart w:id="3" w:name="_Toc106522952"/>
      <w:bookmarkStart w:id="4" w:name="_Toc106526618"/>
      <w:r>
        <w:rPr>
          <w:b/>
          <w:color w:val="auto"/>
          <w:sz w:val="24"/>
          <w:szCs w:val="24"/>
        </w:rPr>
        <w:t>3. Рынок товаров и услуг</w:t>
      </w:r>
    </w:p>
    <w:p w:rsidR="0025767E" w:rsidRDefault="0025767E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  <w:highlight w:val="yellow"/>
        </w:rPr>
      </w:pPr>
    </w:p>
    <w:p w:rsidR="0025767E" w:rsidRDefault="004E32DF">
      <w:pPr>
        <w:pStyle w:val="Default"/>
        <w:ind w:firstLine="709"/>
        <w:jc w:val="both"/>
        <w:rPr>
          <w:color w:val="FF0000"/>
        </w:rPr>
      </w:pPr>
      <w:r>
        <w:rPr>
          <w:color w:val="auto"/>
        </w:rPr>
        <w:t xml:space="preserve">Рынок товаров и услуг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в 2023 году характеризовался ростом физических объемов оборота розничной торговли, и снижением физических объемов </w:t>
      </w:r>
      <w:r>
        <w:rPr>
          <w:color w:val="auto"/>
        </w:rPr>
        <w:t xml:space="preserve">оборота общественного питания и платных услуг населению.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соответствии с экспертной оценкой оборот розничной торговли по полному кругу организаций за 2023 год составил 5 445,6 млн. рублей и в сопоставимых ценах вырос на 14,8 % по сравнению с 2022 годом. </w:t>
      </w:r>
      <w:r>
        <w:rPr>
          <w:color w:val="auto"/>
        </w:rPr>
        <w:t xml:space="preserve">Объем всех продовольственных товаров, реализованных за 2023 год по </w:t>
      </w:r>
      <w:proofErr w:type="spellStart"/>
      <w:r>
        <w:rPr>
          <w:color w:val="auto"/>
        </w:rPr>
        <w:t>Печенгскому</w:t>
      </w:r>
      <w:proofErr w:type="spellEnd"/>
      <w:r>
        <w:rPr>
          <w:color w:val="auto"/>
        </w:rPr>
        <w:t xml:space="preserve"> муниципальному округу, составил  2 887,0 млн. рублей, что на 5,3 % (144,5 млн. рублей) больше уровня 2022 года.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В 2023 году по экспертной оценке</w:t>
      </w:r>
      <w:r>
        <w:rPr>
          <w:color w:val="auto"/>
          <w:sz w:val="24"/>
          <w:szCs w:val="24"/>
        </w:rPr>
        <w:t xml:space="preserve"> объем оборота общественного питания по полному кругу организаций составил 1 253,9 млн. рублей и возрос в сопоставимых ценах на 0,05% к 2022 году, объем платных услуг - составил 1 556,1 млн. рублей, что выше уровня 2022 года на 6,9 % в сопоставимых ценах.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данным официальной статистики оборот розничной торговли (без субъектов малого предпринимательства) за 1 полугодие 2024 года увеличился на 17,4 % по сравнению с аналогичным периодом прошлого года и составил 2 895,2 млн. рублей. Оборот общественного пита</w:t>
      </w:r>
      <w:r>
        <w:rPr>
          <w:color w:val="auto"/>
          <w:sz w:val="24"/>
          <w:szCs w:val="24"/>
        </w:rPr>
        <w:t xml:space="preserve">ния (без субъектов малого предпринимательства) в 1 полугодии 2024 года в соответствии со статистическими данными сократился на 81,5 % и составил 82,4 млн. рублей (По данным </w:t>
      </w:r>
      <w:proofErr w:type="spellStart"/>
      <w:r>
        <w:rPr>
          <w:color w:val="auto"/>
          <w:sz w:val="24"/>
          <w:szCs w:val="24"/>
        </w:rPr>
        <w:t>Мурманскстата</w:t>
      </w:r>
      <w:proofErr w:type="spellEnd"/>
      <w:r>
        <w:rPr>
          <w:color w:val="auto"/>
          <w:sz w:val="24"/>
          <w:szCs w:val="24"/>
        </w:rPr>
        <w:t xml:space="preserve"> т</w:t>
      </w:r>
      <w:r>
        <w:rPr>
          <w:sz w:val="24"/>
          <w:szCs w:val="24"/>
        </w:rPr>
        <w:t xml:space="preserve">емпы снижения показателей связаны с сокращением деловой активности, </w:t>
      </w:r>
      <w:r>
        <w:rPr>
          <w:sz w:val="24"/>
          <w:szCs w:val="24"/>
        </w:rPr>
        <w:t>а также изменением круга респондентов)</w:t>
      </w:r>
      <w:r>
        <w:rPr>
          <w:color w:val="auto"/>
          <w:sz w:val="24"/>
          <w:szCs w:val="24"/>
        </w:rPr>
        <w:t xml:space="preserve">.  Объем платных услуг населению (без субъектов малого предпринимательства) за 1 полугодие 2024 года увеличился на 2,8 % по сравнению с аналогичным периодом 2022 года, и составил 2319 млн. рублей.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итогам 2024 года,</w:t>
      </w:r>
      <w:r>
        <w:rPr>
          <w:color w:val="auto"/>
          <w:sz w:val="24"/>
          <w:szCs w:val="24"/>
        </w:rPr>
        <w:t xml:space="preserve"> несмотря на переориентирование </w:t>
      </w:r>
      <w:proofErr w:type="gramStart"/>
      <w:r>
        <w:rPr>
          <w:color w:val="auto"/>
          <w:sz w:val="24"/>
          <w:szCs w:val="24"/>
        </w:rPr>
        <w:t>потребителей</w:t>
      </w:r>
      <w:proofErr w:type="gramEnd"/>
      <w:r>
        <w:rPr>
          <w:color w:val="auto"/>
          <w:sz w:val="24"/>
          <w:szCs w:val="24"/>
        </w:rPr>
        <w:t xml:space="preserve"> на осуществление покупок в Интернет-магазинах, ожидается увеличение оборота розничной торговли до 6 018,2 млн. рублей.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Ценовая ситуация на продовольственно</w:t>
      </w:r>
      <w:r>
        <w:rPr>
          <w:rFonts w:eastAsia="Calibri"/>
          <w:sz w:val="24"/>
          <w:szCs w:val="24"/>
        </w:rPr>
        <w:t>м рынке находится под постоянным контролем администрации округа. В целях недопущения необоснованного роста цен на социально значимые продукты питания и лекарственные средства еженедельно осуществляется мониторинг цен на социально значимые продукты питания.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Сохраняется тенденция роста обеспеченности населения торговыми площадями. Увеличение показателя в 2024 году произойдет в связи с сокращением численности </w:t>
      </w:r>
      <w:r>
        <w:rPr>
          <w:color w:val="auto"/>
          <w:sz w:val="24"/>
          <w:szCs w:val="24"/>
        </w:rPr>
        <w:lastRenderedPageBreak/>
        <w:t xml:space="preserve">населения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Прогнозное значение оборота общественного питания возраст</w:t>
      </w:r>
      <w:r>
        <w:rPr>
          <w:color w:val="auto"/>
          <w:sz w:val="24"/>
          <w:szCs w:val="24"/>
        </w:rPr>
        <w:t>ет по итогам 2024 года до 1 386,7 млн. рублей, объемы платных услуг населению – до 1 693,4 млн. рублей.</w:t>
      </w:r>
      <w:bookmarkEnd w:id="0"/>
      <w:bookmarkEnd w:id="1"/>
      <w:bookmarkEnd w:id="2"/>
      <w:bookmarkEnd w:id="3"/>
      <w:bookmarkEnd w:id="4"/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Инфраструктура гостеприимства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по данным официальной статистики включает 13 объектов коллективного размещения (гостиниц</w:t>
      </w:r>
      <w:r>
        <w:rPr>
          <w:sz w:val="24"/>
          <w:szCs w:val="24"/>
        </w:rPr>
        <w:t xml:space="preserve">ы, отели, хостелы и пр.). </w:t>
      </w:r>
      <w:r>
        <w:rPr>
          <w:color w:val="auto"/>
          <w:sz w:val="24"/>
          <w:szCs w:val="24"/>
        </w:rPr>
        <w:t xml:space="preserve">Число размещенных в них туристов в 2023 году составило 10 885 человек (+27,3 % к уровню 2022 года) (8 554 человека в 2022 году). </w:t>
      </w: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4. Малое и среднее предпринимательство</w:t>
      </w: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FF0000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соответствии с Единым реестром субъектов малого и средне</w:t>
      </w:r>
      <w:r>
        <w:rPr>
          <w:color w:val="auto"/>
          <w:sz w:val="24"/>
          <w:szCs w:val="24"/>
        </w:rPr>
        <w:t xml:space="preserve">го предпринимательства (далее – Единый реестр) количество индивидуальных предпринимателей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муниципальном округе на 10.01.2024 года составило 696 единиц (118,2 % к 10.01.2023 года).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соответствии с Единым реестром на 10.01.2024 года количество</w:t>
      </w:r>
      <w:r>
        <w:rPr>
          <w:color w:val="auto"/>
          <w:sz w:val="24"/>
          <w:szCs w:val="24"/>
        </w:rPr>
        <w:t xml:space="preserve"> малых и </w:t>
      </w:r>
      <w:proofErr w:type="spellStart"/>
      <w:r>
        <w:rPr>
          <w:color w:val="auto"/>
          <w:sz w:val="24"/>
          <w:szCs w:val="24"/>
        </w:rPr>
        <w:t>микропредприятий</w:t>
      </w:r>
      <w:proofErr w:type="spellEnd"/>
      <w:r>
        <w:rPr>
          <w:color w:val="auto"/>
          <w:sz w:val="24"/>
          <w:szCs w:val="24"/>
        </w:rPr>
        <w:t xml:space="preserve"> – юридических лиц составило 144 (на 10.01.2023 года – 137).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По данным Единого реестра в </w:t>
      </w:r>
      <w:proofErr w:type="spellStart"/>
      <w:r>
        <w:rPr>
          <w:bCs/>
          <w:color w:val="auto"/>
          <w:sz w:val="24"/>
          <w:szCs w:val="24"/>
        </w:rPr>
        <w:t>Печенгском</w:t>
      </w:r>
      <w:proofErr w:type="spellEnd"/>
      <w:r>
        <w:rPr>
          <w:bCs/>
          <w:color w:val="auto"/>
          <w:sz w:val="24"/>
          <w:szCs w:val="24"/>
        </w:rPr>
        <w:t xml:space="preserve"> муниципальном округе средние предприятия – субъекты МСП отсутствуют.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По состоянию на 10.07.2024 года численность малых и </w:t>
      </w:r>
      <w:proofErr w:type="spellStart"/>
      <w:r>
        <w:rPr>
          <w:bCs/>
          <w:color w:val="auto"/>
          <w:sz w:val="24"/>
          <w:szCs w:val="24"/>
        </w:rPr>
        <w:t>микропредприятий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gramStart"/>
      <w:r>
        <w:rPr>
          <w:bCs/>
          <w:color w:val="auto"/>
          <w:sz w:val="24"/>
          <w:szCs w:val="24"/>
        </w:rPr>
        <w:t>–с</w:t>
      </w:r>
      <w:proofErr w:type="gramEnd"/>
      <w:r>
        <w:rPr>
          <w:bCs/>
          <w:color w:val="auto"/>
          <w:sz w:val="24"/>
          <w:szCs w:val="24"/>
        </w:rPr>
        <w:t>убъектов малого и среднего предпринимательства составила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832 (на 01.07.2023 – 745).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мероприятий 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«Экономический потенциал» в 2023 году субъектам МСП оказывалась</w:t>
      </w:r>
      <w:r>
        <w:rPr>
          <w:sz w:val="24"/>
          <w:szCs w:val="24"/>
        </w:rPr>
        <w:t xml:space="preserve"> информационно-консультационная и имущественная поддержка.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рамках оказания имущественной поддержки в 2023 году: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муниципальных объектов, переданных субъектам МСП в качестве имущественной поддержки, составило 58 единиц;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новых объе</w:t>
      </w:r>
      <w:r>
        <w:rPr>
          <w:sz w:val="24"/>
          <w:szCs w:val="24"/>
        </w:rPr>
        <w:t xml:space="preserve">ктов, включенных в перечень муниципального имущества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предназначенного для оказания имущественной поддержки субъектам МСП и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гражданам, составило 5 единиц;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новых договоров, заключенных с субъектами </w:t>
      </w:r>
      <w:r>
        <w:rPr>
          <w:sz w:val="24"/>
          <w:szCs w:val="24"/>
        </w:rPr>
        <w:t>МСП в качестве имущественной поддержки, составило 14 единиц.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проводится работа по информированию предпринимателей через </w:t>
      </w:r>
      <w:r>
        <w:rPr>
          <w:bCs/>
          <w:sz w:val="24"/>
          <w:szCs w:val="24"/>
        </w:rPr>
        <w:t>средства массовой информации, официальный сайт муниципального образования, чат, созданн</w:t>
      </w:r>
      <w:r>
        <w:rPr>
          <w:bCs/>
          <w:sz w:val="24"/>
          <w:szCs w:val="24"/>
        </w:rPr>
        <w:t>ый для оперативного информирования бизнес-сообщества,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</w:t>
      </w:r>
      <w:r>
        <w:rPr>
          <w:bCs/>
          <w:sz w:val="24"/>
          <w:szCs w:val="24"/>
        </w:rPr>
        <w:t>х тематических форумах, конференциях, выставках.</w:t>
      </w:r>
      <w:proofErr w:type="gramEnd"/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2023 года на территории округа </w:t>
      </w:r>
      <w:r>
        <w:rPr>
          <w:rFonts w:eastAsia="Calibri"/>
          <w:bCs/>
          <w:sz w:val="24"/>
          <w:szCs w:val="24"/>
        </w:rPr>
        <w:t xml:space="preserve">с целью создания праздничного облика </w:t>
      </w:r>
      <w:proofErr w:type="spellStart"/>
      <w:r>
        <w:rPr>
          <w:rFonts w:eastAsia="Calibri"/>
          <w:bCs/>
          <w:sz w:val="24"/>
          <w:szCs w:val="24"/>
        </w:rPr>
        <w:t>Печенгского</w:t>
      </w:r>
      <w:proofErr w:type="spellEnd"/>
      <w:r>
        <w:rPr>
          <w:rFonts w:eastAsia="Calibri"/>
          <w:bCs/>
          <w:sz w:val="24"/>
          <w:szCs w:val="24"/>
        </w:rPr>
        <w:t xml:space="preserve"> муниципального округа, повышения эстетического и художественного уровня оформления объектов потребительского рынка во</w:t>
      </w:r>
      <w:r>
        <w:rPr>
          <w:rFonts w:eastAsia="Calibri"/>
          <w:bCs/>
          <w:sz w:val="24"/>
          <w:szCs w:val="24"/>
        </w:rPr>
        <w:t xml:space="preserve"> второй раз </w:t>
      </w:r>
      <w:r>
        <w:rPr>
          <w:sz w:val="24"/>
          <w:szCs w:val="24"/>
        </w:rPr>
        <w:t xml:space="preserve">организован муниципальный конкурс «Новогодняя мозаика». </w:t>
      </w:r>
      <w:r>
        <w:rPr>
          <w:bCs/>
          <w:sz w:val="24"/>
          <w:szCs w:val="24"/>
        </w:rPr>
        <w:t>В конкурсе, который проводился по трем номинациям: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«Лучшее праздничное новогоднее оформление» (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Никель), «Лучшее праздничное новогоднее оформление»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аполярный</w:t>
      </w:r>
      <w:proofErr w:type="spellEnd"/>
      <w:r>
        <w:rPr>
          <w:sz w:val="24"/>
          <w:szCs w:val="24"/>
        </w:rPr>
        <w:t xml:space="preserve">), «Лучшее праздничное </w:t>
      </w:r>
      <w:r>
        <w:rPr>
          <w:sz w:val="24"/>
          <w:szCs w:val="24"/>
        </w:rPr>
        <w:t>новогоднее оформление» (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Печенга,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. Спутник,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 xml:space="preserve"> и другие населенные пункты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округа), приняли участие 13 хозяйствующих субъектов, оказывающих услуги торговли и общественного питания, </w:t>
      </w:r>
      <w:r>
        <w:rPr>
          <w:sz w:val="24"/>
          <w:szCs w:val="24"/>
        </w:rPr>
        <w:t>медицинские услуги.</w:t>
      </w:r>
      <w:proofErr w:type="gramEnd"/>
      <w:r>
        <w:rPr>
          <w:sz w:val="24"/>
          <w:szCs w:val="24"/>
        </w:rPr>
        <w:t xml:space="preserve"> По результатам конкурса 10 участников </w:t>
      </w:r>
      <w:proofErr w:type="gramStart"/>
      <w:r>
        <w:rPr>
          <w:sz w:val="24"/>
          <w:szCs w:val="24"/>
        </w:rPr>
        <w:t>награждены</w:t>
      </w:r>
      <w:proofErr w:type="gramEnd"/>
      <w:r>
        <w:rPr>
          <w:sz w:val="24"/>
          <w:szCs w:val="24"/>
        </w:rPr>
        <w:t xml:space="preserve"> подарочными сертификатами. Проводится работа по привлечению хозяйствующих субъектов к выездной торговле при проведении праздничных мероприятий.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На территории </w:t>
      </w:r>
      <w:proofErr w:type="spellStart"/>
      <w:r>
        <w:rPr>
          <w:bCs/>
          <w:color w:val="auto"/>
          <w:sz w:val="24"/>
          <w:szCs w:val="24"/>
        </w:rPr>
        <w:t>Печенгского</w:t>
      </w:r>
      <w:proofErr w:type="spellEnd"/>
      <w:r>
        <w:rPr>
          <w:bCs/>
          <w:color w:val="auto"/>
          <w:sz w:val="24"/>
          <w:szCs w:val="24"/>
        </w:rPr>
        <w:t xml:space="preserve"> муниципального округа действуют следующие </w:t>
      </w:r>
      <w:r>
        <w:rPr>
          <w:bCs/>
          <w:color w:val="auto"/>
          <w:sz w:val="24"/>
          <w:szCs w:val="24"/>
        </w:rPr>
        <w:lastRenderedPageBreak/>
        <w:t>налоговые льготы по земельному налогу и налогу на имущество физических лиц: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1)</w:t>
      </w:r>
      <w:r>
        <w:rPr>
          <w:color w:val="auto"/>
          <w:sz w:val="24"/>
          <w:szCs w:val="24"/>
        </w:rPr>
        <w:t xml:space="preserve">освобождение от налогообложения земельным налогом в соответствии с решением Совета депутатов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от 23.10</w:t>
      </w:r>
      <w:r>
        <w:rPr>
          <w:color w:val="auto"/>
          <w:sz w:val="24"/>
          <w:szCs w:val="24"/>
        </w:rPr>
        <w:t xml:space="preserve">.2020 № 39 «Об установлении земельного налога на территории муниципального образования 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муниципальный округ Мурманской области»: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субъекты инвестиционной деятельности - юридические лица и индивидуальные предприниматели, реализующие приоритетные </w:t>
      </w:r>
      <w:r>
        <w:rPr>
          <w:color w:val="auto"/>
          <w:sz w:val="24"/>
          <w:szCs w:val="24"/>
        </w:rPr>
        <w:t xml:space="preserve">инвестиционные проекты на территории муниципального образования 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>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</w:t>
      </w:r>
      <w:r>
        <w:rPr>
          <w:color w:val="auto"/>
          <w:sz w:val="24"/>
          <w:szCs w:val="24"/>
        </w:rPr>
        <w:t xml:space="preserve">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 муниципальный округ, на три налоговых периода, начиная с первого</w:t>
      </w:r>
      <w:r>
        <w:rPr>
          <w:color w:val="auto"/>
          <w:sz w:val="24"/>
          <w:szCs w:val="24"/>
        </w:rPr>
        <w:t xml:space="preserve"> числа месяца, следующего за</w:t>
      </w:r>
      <w:proofErr w:type="gramEnd"/>
      <w:r>
        <w:rPr>
          <w:color w:val="auto"/>
          <w:sz w:val="24"/>
          <w:szCs w:val="24"/>
        </w:rPr>
        <w:t xml:space="preserve"> месяцем включения налогоплательщиков в реестр резидентов Арктической зоны;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2)предоставление права на налоговые льготы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по налогу на имущество физических лиц</w:t>
      </w:r>
      <w:r>
        <w:rPr>
          <w:color w:val="auto"/>
          <w:sz w:val="24"/>
          <w:szCs w:val="24"/>
        </w:rPr>
        <w:t xml:space="preserve"> решением Совета депутатов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от 23.10.20</w:t>
      </w:r>
      <w:r>
        <w:rPr>
          <w:color w:val="auto"/>
          <w:sz w:val="24"/>
          <w:szCs w:val="24"/>
        </w:rPr>
        <w:t xml:space="preserve">20 № 40 «Об установлении налога на имущество физических лиц на территории муниципального образования 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муниципальный округ Мурманской области» начиная с 2021 года </w:t>
      </w:r>
      <w:r>
        <w:rPr>
          <w:rFonts w:eastAsiaTheme="minorHAnsi"/>
          <w:color w:val="auto"/>
          <w:sz w:val="24"/>
          <w:szCs w:val="24"/>
          <w:lang w:eastAsia="en-US"/>
        </w:rPr>
        <w:t>индивидуальным предпринимателям, получившим статус резидента Арктической зоны в соот</w:t>
      </w:r>
      <w:r>
        <w:rPr>
          <w:rFonts w:eastAsiaTheme="minorHAnsi"/>
          <w:color w:val="auto"/>
          <w:sz w:val="24"/>
          <w:szCs w:val="24"/>
          <w:lang w:eastAsia="en-US"/>
        </w:rPr>
        <w:t>ветствии с Федеральным законом от 13.07.2020 № 193-ФЗ "О государственной поддержке предпринимательской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деятельности в Арктической зоне Российской Федерации" (далее - резиденты Арктической зоны Российской Федерации), в отношении имущества, созданного, приоб</w:t>
      </w:r>
      <w:r>
        <w:rPr>
          <w:rFonts w:eastAsiaTheme="minorHAnsi"/>
          <w:color w:val="auto"/>
          <w:sz w:val="24"/>
          <w:szCs w:val="24"/>
          <w:lang w:eastAsia="en-US"/>
        </w:rPr>
        <w:t>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в размере подлежащей уплате налогоплательщиком суммы налога в отношении объекта налогообложения, находящег</w:t>
      </w:r>
      <w:r>
        <w:rPr>
          <w:rFonts w:eastAsiaTheme="minorHAnsi"/>
          <w:color w:val="auto"/>
          <w:sz w:val="24"/>
          <w:szCs w:val="24"/>
          <w:lang w:eastAsia="en-US"/>
        </w:rPr>
        <w:t>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в размере 50 процентов от суммы налога, подлежащей уп</w:t>
      </w:r>
      <w:r>
        <w:rPr>
          <w:rFonts w:eastAsiaTheme="minorHAnsi"/>
          <w:color w:val="auto"/>
          <w:sz w:val="24"/>
          <w:szCs w:val="24"/>
          <w:lang w:eastAsia="en-US"/>
        </w:rPr>
        <w:t>лате, в течение последующих пяти лет;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Среднесписочная численность работников субъектов малого и среднего предпринимательства (далее ‒ субъекты МСП) – юридических лиц в связи с тем, что сплошное статистическое наблюдения за деятельностью малого и среднего б</w:t>
      </w:r>
      <w:r>
        <w:rPr>
          <w:color w:val="auto"/>
          <w:sz w:val="24"/>
          <w:szCs w:val="24"/>
        </w:rPr>
        <w:t xml:space="preserve">изнеса проводится раз в пять лет, рассчитана на основе данных Единого реестра, полученных на сайте </w:t>
      </w:r>
      <w:proofErr w:type="spellStart"/>
      <w:r>
        <w:rPr>
          <w:color w:val="auto"/>
          <w:sz w:val="24"/>
          <w:szCs w:val="24"/>
          <w:lang w:val="en-US"/>
        </w:rPr>
        <w:t>ofd</w:t>
      </w:r>
      <w:proofErr w:type="spellEnd"/>
      <w:r>
        <w:rPr>
          <w:color w:val="auto"/>
          <w:sz w:val="24"/>
          <w:szCs w:val="24"/>
        </w:rPr>
        <w:t xml:space="preserve">.nalog.ru.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Среднесписочная численность работников (без внешних совместителей) по итогам 2023 года в малых предприятиях (в </w:t>
      </w:r>
      <w:proofErr w:type="spellStart"/>
      <w:r>
        <w:rPr>
          <w:color w:val="auto"/>
          <w:sz w:val="24"/>
          <w:szCs w:val="24"/>
        </w:rPr>
        <w:t>т.ч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микропредприятиях</w:t>
      </w:r>
      <w:proofErr w:type="spellEnd"/>
      <w:r>
        <w:rPr>
          <w:color w:val="auto"/>
          <w:sz w:val="24"/>
          <w:szCs w:val="24"/>
        </w:rPr>
        <w:t>) составл</w:t>
      </w:r>
      <w:r>
        <w:rPr>
          <w:color w:val="auto"/>
          <w:sz w:val="24"/>
          <w:szCs w:val="24"/>
        </w:rPr>
        <w:t xml:space="preserve">яла 556 человек. Наиболее распространенными видами деятельности являются: розничная торговля, обрабатывающие производства, строительство, деятельность гостиниц и общественного питания. По оценке, среднесписочная численность работников малых предприятий </w:t>
      </w:r>
      <w:proofErr w:type="gramStart"/>
      <w:r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>конец</w:t>
      </w:r>
      <w:proofErr w:type="gramEnd"/>
      <w:r>
        <w:rPr>
          <w:color w:val="auto"/>
          <w:sz w:val="24"/>
          <w:szCs w:val="24"/>
        </w:rPr>
        <w:t xml:space="preserve"> 2024 года составит 551 человек.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Прогнозное количество юридических лиц – малых и </w:t>
      </w:r>
      <w:proofErr w:type="spellStart"/>
      <w:r>
        <w:rPr>
          <w:color w:val="auto"/>
          <w:sz w:val="24"/>
          <w:szCs w:val="24"/>
        </w:rPr>
        <w:t>микропредприятий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на конец</w:t>
      </w:r>
      <w:proofErr w:type="gramEnd"/>
      <w:r>
        <w:rPr>
          <w:color w:val="auto"/>
          <w:sz w:val="24"/>
          <w:szCs w:val="24"/>
        </w:rPr>
        <w:t xml:space="preserve"> 2024 года составит 149 единиц.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FF0000"/>
          <w:sz w:val="24"/>
          <w:szCs w:val="24"/>
          <w:highlight w:val="yellow"/>
        </w:rPr>
      </w:pPr>
      <w:r>
        <w:rPr>
          <w:color w:val="auto"/>
          <w:sz w:val="24"/>
          <w:szCs w:val="24"/>
        </w:rPr>
        <w:t xml:space="preserve">Число индивидуальных предпринимателей </w:t>
      </w:r>
      <w:proofErr w:type="gramStart"/>
      <w:r>
        <w:rPr>
          <w:color w:val="auto"/>
          <w:sz w:val="24"/>
          <w:szCs w:val="24"/>
        </w:rPr>
        <w:t>на конец</w:t>
      </w:r>
      <w:proofErr w:type="gramEnd"/>
      <w:r>
        <w:rPr>
          <w:color w:val="auto"/>
          <w:sz w:val="24"/>
          <w:szCs w:val="24"/>
        </w:rPr>
        <w:t xml:space="preserve"> 2024 года оценивается в </w:t>
      </w:r>
      <w:r>
        <w:rPr>
          <w:color w:val="auto"/>
          <w:sz w:val="24"/>
          <w:szCs w:val="24"/>
        </w:rPr>
        <w:lastRenderedPageBreak/>
        <w:t xml:space="preserve">количестве 708 единиц. </w:t>
      </w:r>
      <w:r>
        <w:rPr>
          <w:color w:val="FF0000"/>
          <w:sz w:val="24"/>
          <w:szCs w:val="24"/>
        </w:rPr>
        <w:t xml:space="preserve">    </w:t>
      </w:r>
    </w:p>
    <w:p w:rsidR="0025767E" w:rsidRDefault="004E32DF">
      <w:pPr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5. Инвестиции</w:t>
      </w:r>
      <w:r>
        <w:rPr>
          <w:b/>
          <w:color w:val="auto"/>
          <w:sz w:val="24"/>
          <w:szCs w:val="24"/>
        </w:rPr>
        <w:t xml:space="preserve"> и строительство</w:t>
      </w:r>
    </w:p>
    <w:p w:rsidR="0025767E" w:rsidRDefault="0025767E">
      <w:pPr>
        <w:ind w:firstLine="709"/>
        <w:contextualSpacing/>
        <w:jc w:val="both"/>
        <w:rPr>
          <w:bCs/>
          <w:color w:val="FF0000"/>
          <w:sz w:val="24"/>
          <w:szCs w:val="24"/>
          <w:highlight w:val="yellow"/>
        </w:rPr>
      </w:pPr>
    </w:p>
    <w:p w:rsidR="0025767E" w:rsidRDefault="004E32D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По предварительным данным с учетом экспертного </w:t>
      </w:r>
      <w:proofErr w:type="spellStart"/>
      <w:r>
        <w:rPr>
          <w:color w:val="auto"/>
        </w:rPr>
        <w:t>досчета</w:t>
      </w:r>
      <w:proofErr w:type="spellEnd"/>
      <w:r>
        <w:rPr>
          <w:color w:val="auto"/>
        </w:rPr>
        <w:t xml:space="preserve"> по субъектам малого предпринимательства объем инвестиций в основной капитал за счет всех источников финансирования по полному кругу организаций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 за 2023 год составил 7 599,0 млн. рублей, в том числе за счет бюджетных средств – 238,1 млн. рублей, собственных средств – 7 7 342,0 млн. рублей, за счет прочих источников – 18,9 млн. рублей.</w:t>
      </w:r>
      <w:proofErr w:type="gramEnd"/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Основные инвестиционные проекты реализую</w:t>
      </w:r>
      <w:r>
        <w:rPr>
          <w:color w:val="auto"/>
        </w:rPr>
        <w:t>щиеся (реализованные) в 2023 году: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строительство одноагрегатной малой гидроэлектростанции на реке Паз (период реализации 2021 -2026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реализация инвестиционного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>
        <w:rPr>
          <w:color w:val="auto"/>
          <w:sz w:val="24"/>
          <w:szCs w:val="24"/>
        </w:rPr>
        <w:t>гг</w:t>
      </w:r>
      <w:proofErr w:type="spellEnd"/>
      <w:proofErr w:type="gramEnd"/>
      <w:r>
        <w:rPr>
          <w:color w:val="auto"/>
          <w:sz w:val="24"/>
          <w:szCs w:val="24"/>
        </w:rPr>
        <w:t xml:space="preserve"> АО «</w:t>
      </w:r>
      <w:proofErr w:type="spellStart"/>
      <w:r>
        <w:rPr>
          <w:color w:val="auto"/>
          <w:sz w:val="24"/>
          <w:szCs w:val="24"/>
        </w:rPr>
        <w:t>АтомЭнергоСбыт</w:t>
      </w:r>
      <w:proofErr w:type="spellEnd"/>
      <w:r>
        <w:rPr>
          <w:color w:val="auto"/>
          <w:sz w:val="24"/>
          <w:szCs w:val="24"/>
        </w:rPr>
        <w:t>»;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</w:t>
      </w:r>
      <w:r>
        <w:rPr>
          <w:color w:val="auto"/>
          <w:sz w:val="24"/>
          <w:szCs w:val="24"/>
        </w:rPr>
        <w:t xml:space="preserve">адочного материала атлантического лосося и форели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районе Мурманской области (период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база отдыха </w:t>
      </w:r>
      <w:r>
        <w:rPr>
          <w:color w:val="auto"/>
          <w:sz w:val="24"/>
          <w:szCs w:val="24"/>
        </w:rPr>
        <w:t>«Студеный берег» (срок реализации 2021-2023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</w:t>
      </w:r>
      <w:r>
        <w:rPr>
          <w:color w:val="auto"/>
          <w:sz w:val="24"/>
          <w:szCs w:val="24"/>
        </w:rPr>
        <w:t>а в ампулах для механизированного крепления (предполагаемый 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туристического комплекса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округе (срок реализации 2022-2026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</w:t>
      </w:r>
      <w:r>
        <w:rPr>
          <w:color w:val="auto"/>
          <w:sz w:val="24"/>
          <w:szCs w:val="24"/>
        </w:rPr>
        <w:t>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начальной ш</w:t>
      </w:r>
      <w:r>
        <w:rPr>
          <w:color w:val="auto"/>
          <w:sz w:val="24"/>
          <w:szCs w:val="24"/>
        </w:rPr>
        <w:t xml:space="preserve">колы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на 250 мест (срок реализации 2023-2024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>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>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>. Сп</w:t>
      </w:r>
      <w:r>
        <w:rPr>
          <w:color w:val="auto"/>
          <w:sz w:val="24"/>
          <w:szCs w:val="24"/>
        </w:rPr>
        <w:t>утник;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капитальный ремонт домов в поселке Спутник,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 xml:space="preserve"> Печенга, поселке 19 км;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троительство нового кладбища в МГОП Никель в районе                                          3 км автодороги 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благоус</w:t>
      </w:r>
      <w:r>
        <w:rPr>
          <w:color w:val="auto"/>
          <w:sz w:val="24"/>
          <w:szCs w:val="24"/>
        </w:rPr>
        <w:t xml:space="preserve">тройство Площади металлургов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 xml:space="preserve"> Никель;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«Тропа здоровья» в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>.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официальным статистическим данным объем инвестиций в основной капитал </w:t>
      </w:r>
      <w:proofErr w:type="gramStart"/>
      <w:r>
        <w:rPr>
          <w:color w:val="auto"/>
          <w:sz w:val="24"/>
          <w:szCs w:val="24"/>
        </w:rPr>
        <w:t>по</w:t>
      </w:r>
      <w:proofErr w:type="gram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крупным</w:t>
      </w:r>
      <w:proofErr w:type="gramEnd"/>
      <w:r>
        <w:rPr>
          <w:color w:val="auto"/>
          <w:sz w:val="24"/>
          <w:szCs w:val="24"/>
        </w:rPr>
        <w:t xml:space="preserve"> и средним организациям за 1 полугодие 2024 года по сравнению с соответствующим периодом 2023 года увеличился на 82,0 % и составил 2 755,9 млн. рублей.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Структура инвестиций в основной капитал крупных и средних организаций за 1 </w:t>
      </w:r>
      <w:r>
        <w:rPr>
          <w:color w:val="auto"/>
          <w:sz w:val="24"/>
          <w:szCs w:val="24"/>
        </w:rPr>
        <w:lastRenderedPageBreak/>
        <w:t xml:space="preserve">полугодие 2024 года: 95,5 % </w:t>
      </w:r>
      <w:r>
        <w:rPr>
          <w:color w:val="auto"/>
          <w:sz w:val="24"/>
          <w:szCs w:val="24"/>
        </w:rPr>
        <w:t xml:space="preserve">– собственные средства, 4,5 % – привлеченные средства (из них бюджетные средства – 117,4 млн. рублей (95,2 % привлеченных средств), прочие привлеченные средства – 6,0 млн. рублей (4,8 % привлеченных средств)).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Основные инвестиционные проекты 2024 года: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 xml:space="preserve"> продолжение строительства одноагрегатной малой гидроэлектростанции на реке Паз (период реализации 2021 -2026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Пазских</w:t>
      </w:r>
      <w:proofErr w:type="spellEnd"/>
      <w:r>
        <w:rPr>
          <w:color w:val="auto"/>
          <w:sz w:val="24"/>
          <w:szCs w:val="24"/>
        </w:rPr>
        <w:t xml:space="preserve"> ГЭС (период реализации 2024-2027 г</w:t>
      </w:r>
      <w:r>
        <w:rPr>
          <w:color w:val="auto"/>
          <w:sz w:val="24"/>
          <w:szCs w:val="24"/>
        </w:rPr>
        <w:t>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реализация инвестиционного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>
        <w:rPr>
          <w:color w:val="auto"/>
          <w:sz w:val="24"/>
          <w:szCs w:val="24"/>
        </w:rPr>
        <w:t>гг</w:t>
      </w:r>
      <w:proofErr w:type="spellEnd"/>
      <w:proofErr w:type="gramEnd"/>
      <w:r>
        <w:rPr>
          <w:color w:val="auto"/>
          <w:sz w:val="24"/>
          <w:szCs w:val="24"/>
        </w:rPr>
        <w:t xml:space="preserve"> АО «</w:t>
      </w:r>
      <w:proofErr w:type="spellStart"/>
      <w:r>
        <w:rPr>
          <w:color w:val="auto"/>
          <w:sz w:val="24"/>
          <w:szCs w:val="24"/>
        </w:rPr>
        <w:t>АтомЭнергоСбыт</w:t>
      </w:r>
      <w:proofErr w:type="spellEnd"/>
      <w:r>
        <w:rPr>
          <w:color w:val="auto"/>
          <w:sz w:val="24"/>
          <w:szCs w:val="24"/>
        </w:rPr>
        <w:t>»;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- инвестиционные проекты, реализуемые АО «Кольская ГМК», на территор</w:t>
      </w:r>
      <w:r>
        <w:rPr>
          <w:color w:val="auto"/>
          <w:sz w:val="24"/>
          <w:szCs w:val="24"/>
        </w:rPr>
        <w:t xml:space="preserve">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(период реализации 2023-2027 гг.) (Вскрытие и отработка запасов руды до гор.-730 м рудника «Северный – Глубокий» - проходка горных выработок, работы по оснащению пройденных горных выработок, а также </w:t>
      </w:r>
      <w:proofErr w:type="spellStart"/>
      <w:r>
        <w:rPr>
          <w:color w:val="auto"/>
          <w:sz w:val="24"/>
          <w:szCs w:val="24"/>
        </w:rPr>
        <w:t>углубка</w:t>
      </w:r>
      <w:proofErr w:type="spellEnd"/>
      <w:r>
        <w:rPr>
          <w:color w:val="auto"/>
          <w:sz w:val="24"/>
          <w:szCs w:val="24"/>
        </w:rPr>
        <w:t xml:space="preserve"> ЦВС; </w:t>
      </w:r>
      <w:proofErr w:type="gramStart"/>
      <w:r>
        <w:rPr>
          <w:color w:val="auto"/>
          <w:sz w:val="24"/>
          <w:szCs w:val="24"/>
        </w:rPr>
        <w:t>Вскрыти</w:t>
      </w:r>
      <w:r>
        <w:rPr>
          <w:color w:val="auto"/>
          <w:sz w:val="24"/>
          <w:szCs w:val="24"/>
        </w:rPr>
        <w:t>е и отработка запасов руды до гор.-440 м рудника «Северный – Глубокий» - строительство транспортной выработки Восточного участка гор.-440 м, строительство комплекса выработок разгрузки автосамосвалов и погрузочных камер Восточного участка откаточного гориз</w:t>
      </w:r>
      <w:r>
        <w:rPr>
          <w:color w:val="auto"/>
          <w:sz w:val="24"/>
          <w:szCs w:val="24"/>
        </w:rPr>
        <w:t>онта -440 м; Реконструкция станции очистки шахтных вод рудника «Северный»);</w:t>
      </w:r>
      <w:proofErr w:type="gramEnd"/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районе Мурманской области (период реализации</w:t>
      </w:r>
      <w:r>
        <w:rPr>
          <w:color w:val="auto"/>
          <w:sz w:val="24"/>
          <w:szCs w:val="24"/>
        </w:rPr>
        <w:t xml:space="preserve">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предприятие по смеш</w:t>
      </w:r>
      <w:r>
        <w:rPr>
          <w:color w:val="auto"/>
          <w:sz w:val="24"/>
          <w:szCs w:val="24"/>
        </w:rPr>
        <w:t>иванию, фасовке и упаковке синтетических смол и двухкомпонентного полиэфирного состава в ампулах для механизированного крепления (предполагаемый 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туристического комплекса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округе (срок реализации 2</w:t>
      </w:r>
      <w:r>
        <w:rPr>
          <w:color w:val="auto"/>
          <w:sz w:val="24"/>
          <w:szCs w:val="24"/>
        </w:rPr>
        <w:t>022-2026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выполнение работ по капитальному ремонту мостовых </w:t>
      </w:r>
      <w:proofErr w:type="gramStart"/>
      <w:r>
        <w:rPr>
          <w:color w:val="auto"/>
          <w:sz w:val="24"/>
          <w:szCs w:val="24"/>
        </w:rPr>
        <w:t>сооружений</w:t>
      </w:r>
      <w:proofErr w:type="gramEnd"/>
      <w:r>
        <w:rPr>
          <w:color w:val="auto"/>
          <w:sz w:val="24"/>
          <w:szCs w:val="24"/>
        </w:rPr>
        <w:t xml:space="preserve"> а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</w:t>
      </w:r>
      <w:proofErr w:type="spellStart"/>
      <w:r>
        <w:rPr>
          <w:color w:val="auto"/>
          <w:sz w:val="24"/>
          <w:szCs w:val="24"/>
        </w:rPr>
        <w:t>р</w:t>
      </w:r>
      <w:proofErr w:type="gramStart"/>
      <w:r>
        <w:rPr>
          <w:color w:val="auto"/>
          <w:sz w:val="24"/>
          <w:szCs w:val="24"/>
        </w:rPr>
        <w:t>.К</w:t>
      </w:r>
      <w:proofErr w:type="gramEnd"/>
      <w:r>
        <w:rPr>
          <w:color w:val="auto"/>
          <w:sz w:val="24"/>
          <w:szCs w:val="24"/>
        </w:rPr>
        <w:t>олосйоки</w:t>
      </w:r>
      <w:proofErr w:type="spellEnd"/>
      <w:r>
        <w:rPr>
          <w:color w:val="auto"/>
          <w:sz w:val="24"/>
          <w:szCs w:val="24"/>
        </w:rPr>
        <w:t xml:space="preserve">) и г. Заполярный (р. </w:t>
      </w:r>
      <w:proofErr w:type="spellStart"/>
      <w:r>
        <w:rPr>
          <w:color w:val="auto"/>
          <w:sz w:val="24"/>
          <w:szCs w:val="24"/>
        </w:rPr>
        <w:t>Хауки-лампи-йоки</w:t>
      </w:r>
      <w:proofErr w:type="spellEnd"/>
      <w:r>
        <w:rPr>
          <w:color w:val="auto"/>
          <w:sz w:val="24"/>
          <w:szCs w:val="24"/>
        </w:rPr>
        <w:t>) (срок реализации 2023-2024 гг.);</w:t>
      </w:r>
    </w:p>
    <w:p w:rsidR="0025767E" w:rsidRDefault="004E32DF">
      <w:pPr>
        <w:pStyle w:val="ac"/>
        <w:widowControl w:val="0"/>
        <w:tabs>
          <w:tab w:val="left" w:pos="-7938"/>
          <w:tab w:val="left" w:pos="993"/>
        </w:tabs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>;</w:t>
      </w:r>
    </w:p>
    <w:p w:rsidR="0025767E" w:rsidRDefault="004E32DF">
      <w:pPr>
        <w:pStyle w:val="ac"/>
        <w:widowControl w:val="0"/>
        <w:tabs>
          <w:tab w:val="left" w:pos="-7938"/>
          <w:tab w:val="left" w:pos="993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>;</w:t>
      </w:r>
    </w:p>
    <w:p w:rsidR="0025767E" w:rsidRDefault="004E32DF">
      <w:pPr>
        <w:pStyle w:val="ac"/>
        <w:widowControl w:val="0"/>
        <w:tabs>
          <w:tab w:val="left" w:pos="-7938"/>
          <w:tab w:val="left" w:pos="993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Печенга;</w:t>
      </w:r>
    </w:p>
    <w:p w:rsidR="0025767E" w:rsidRDefault="004E32DF">
      <w:pPr>
        <w:pStyle w:val="ac"/>
        <w:widowControl w:val="0"/>
        <w:tabs>
          <w:tab w:val="left" w:pos="-7938"/>
          <w:tab w:val="left" w:pos="993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gramStart"/>
      <w:r>
        <w:rPr>
          <w:color w:val="auto"/>
          <w:sz w:val="24"/>
          <w:szCs w:val="24"/>
        </w:rPr>
        <w:t>модульного</w:t>
      </w:r>
      <w:proofErr w:type="gramEnd"/>
      <w:r>
        <w:rPr>
          <w:color w:val="auto"/>
          <w:sz w:val="24"/>
          <w:szCs w:val="24"/>
        </w:rPr>
        <w:t xml:space="preserve"> ФАП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>. Спутник;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окончание 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строительства нового кладбища в МГОП Никель в районе                                          3 км автодороги 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-</w:t>
      </w:r>
      <w:r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«Тропа здоровья» в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благоустрой</w:t>
      </w:r>
      <w:r>
        <w:rPr>
          <w:color w:val="auto"/>
          <w:sz w:val="24"/>
          <w:szCs w:val="24"/>
        </w:rPr>
        <w:t xml:space="preserve">ство Площади металлургов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 xml:space="preserve"> Никель;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котельных и тепловых сетей в рамках концессионного соглашения (срок реализации 2024-2025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строительство начальной школы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на 250 мест (срок реализации 2023-2024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выполнение работ п</w:t>
      </w:r>
      <w:r>
        <w:rPr>
          <w:color w:val="auto"/>
          <w:sz w:val="24"/>
          <w:szCs w:val="24"/>
        </w:rPr>
        <w:t>о капитальному ремонту фасада и входных групп МБОУ ООШ №22;</w:t>
      </w:r>
    </w:p>
    <w:p w:rsidR="0025767E" w:rsidRDefault="004E32DF">
      <w:pPr>
        <w:widowControl w:val="0"/>
        <w:tabs>
          <w:tab w:val="left" w:pos="-7938"/>
          <w:tab w:val="left" w:pos="993"/>
        </w:tabs>
        <w:ind w:left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завершение строительства недостроенного дома в г. </w:t>
      </w:r>
      <w:proofErr w:type="gramStart"/>
      <w:r>
        <w:rPr>
          <w:color w:val="auto"/>
          <w:sz w:val="24"/>
          <w:szCs w:val="24"/>
        </w:rPr>
        <w:t>Заполярный</w:t>
      </w:r>
      <w:proofErr w:type="gramEnd"/>
      <w:r>
        <w:rPr>
          <w:color w:val="auto"/>
          <w:sz w:val="24"/>
          <w:szCs w:val="24"/>
        </w:rPr>
        <w:t xml:space="preserve"> по ул. Ленинградская (2024-2025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организация молодежных пространств «Сопки», а также «Сопки. Семья»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муниципальном о</w:t>
      </w:r>
      <w:r>
        <w:rPr>
          <w:color w:val="auto"/>
          <w:sz w:val="24"/>
          <w:szCs w:val="24"/>
        </w:rPr>
        <w:t>круге;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модернизация объекта «Крытый хоккейный корт» в </w:t>
      </w:r>
      <w:proofErr w:type="spellStart"/>
      <w:r>
        <w:rPr>
          <w:color w:val="auto"/>
          <w:sz w:val="24"/>
          <w:szCs w:val="24"/>
        </w:rPr>
        <w:t>г</w:t>
      </w:r>
      <w:proofErr w:type="gramStart"/>
      <w:r>
        <w:rPr>
          <w:color w:val="auto"/>
          <w:sz w:val="24"/>
          <w:szCs w:val="24"/>
        </w:rPr>
        <w:t>.З</w:t>
      </w:r>
      <w:proofErr w:type="gramEnd"/>
      <w:r>
        <w:rPr>
          <w:color w:val="auto"/>
          <w:sz w:val="24"/>
          <w:szCs w:val="24"/>
        </w:rPr>
        <w:t>аполярный</w:t>
      </w:r>
      <w:proofErr w:type="spellEnd"/>
      <w:r>
        <w:rPr>
          <w:color w:val="auto"/>
          <w:sz w:val="24"/>
          <w:szCs w:val="24"/>
        </w:rPr>
        <w:t xml:space="preserve"> (искусственный лед) (2023-2024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проектирование, строительство и ввод в эксплуатацию объекта капитального строительства «Детский сад на 350 мест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(срок реализации 2024-202</w:t>
      </w:r>
      <w:r>
        <w:rPr>
          <w:color w:val="auto"/>
          <w:sz w:val="24"/>
          <w:szCs w:val="24"/>
        </w:rPr>
        <w:t>6 гг.) * на сегодняшний день контракт не заключен;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строительство здания детского сада на 250 мест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 xml:space="preserve"> (срок реализации 2024-2026 гг.) * на сегодняшний день контракт не заключен;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капитальный ремонт кровли и ут</w:t>
      </w:r>
      <w:r>
        <w:rPr>
          <w:color w:val="auto"/>
          <w:sz w:val="24"/>
          <w:szCs w:val="24"/>
        </w:rPr>
        <w:t>епление фасада МБУ «КДЦ «Платформа» (срок реализации 2024 г.)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кластер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</w:t>
      </w:r>
      <w:r>
        <w:rPr>
          <w:color w:val="auto"/>
          <w:sz w:val="24"/>
          <w:szCs w:val="24"/>
        </w:rPr>
        <w:t>4 гг.).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В 2024 году ожидаемый объем инвестиций в основной капитал</w:t>
      </w:r>
      <w:r>
        <w:rPr>
          <w:color w:val="auto"/>
          <w:sz w:val="24"/>
          <w:szCs w:val="24"/>
        </w:rPr>
        <w:t xml:space="preserve"> за счет всех источников составит 14 013,1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млн. рублей или 184,4 %  к уровню 2023 года.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 счет</w:t>
      </w:r>
      <w:r>
        <w:rPr>
          <w:bCs/>
          <w:color w:val="auto"/>
          <w:sz w:val="24"/>
          <w:szCs w:val="24"/>
        </w:rPr>
        <w:t xml:space="preserve"> собственных сре</w:t>
      </w:r>
      <w:proofErr w:type="gramStart"/>
      <w:r>
        <w:rPr>
          <w:bCs/>
          <w:color w:val="auto"/>
          <w:sz w:val="24"/>
          <w:szCs w:val="24"/>
        </w:rPr>
        <w:t>дств пр</w:t>
      </w:r>
      <w:proofErr w:type="gramEnd"/>
      <w:r>
        <w:rPr>
          <w:bCs/>
          <w:color w:val="auto"/>
          <w:sz w:val="24"/>
          <w:szCs w:val="24"/>
        </w:rPr>
        <w:t>едприятий и организаций</w:t>
      </w:r>
      <w:r>
        <w:rPr>
          <w:color w:val="auto"/>
          <w:sz w:val="24"/>
          <w:szCs w:val="24"/>
        </w:rPr>
        <w:t xml:space="preserve"> предполагается освоить 13 608,5 млн. рублей, что </w:t>
      </w:r>
      <w:r>
        <w:rPr>
          <w:color w:val="auto"/>
          <w:sz w:val="24"/>
          <w:szCs w:val="24"/>
        </w:rPr>
        <w:t xml:space="preserve">составит 97,1 % от общего объема инвестиций. Доля </w:t>
      </w:r>
      <w:r>
        <w:rPr>
          <w:bCs/>
          <w:color w:val="auto"/>
          <w:sz w:val="24"/>
          <w:szCs w:val="24"/>
        </w:rPr>
        <w:t>бюджетных средств</w:t>
      </w:r>
      <w:r>
        <w:rPr>
          <w:color w:val="auto"/>
          <w:sz w:val="24"/>
          <w:szCs w:val="24"/>
        </w:rPr>
        <w:t xml:space="preserve"> в общем объеме инвестиций составит 2,3 %, или 318,1 млн. рублей.</w:t>
      </w:r>
    </w:p>
    <w:p w:rsidR="0025767E" w:rsidRDefault="004E32DF">
      <w:pPr>
        <w:pStyle w:val="aff2"/>
        <w:spacing w:before="0" w:beforeAutospacing="0" w:after="0" w:afterAutospacing="0"/>
        <w:ind w:firstLine="708"/>
        <w:jc w:val="both"/>
      </w:pPr>
      <w:r>
        <w:t xml:space="preserve">Приказом Минэкономразвития России от 26.06.2023 № 672 утверждены Методические рекомендации по организации системной работы </w:t>
      </w:r>
      <w:r>
        <w:t>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 (далее – Методические рекомендации). В пункте</w:t>
      </w:r>
      <w:r>
        <w:t xml:space="preserve"> 11 Методических рекомендаций перечислены рекомендуемые положения для документа стратегического планирования.</w:t>
      </w:r>
    </w:p>
    <w:p w:rsidR="0025767E" w:rsidRDefault="004E32DF">
      <w:pPr>
        <w:pStyle w:val="aff2"/>
        <w:spacing w:before="0" w:beforeAutospacing="0" w:after="0" w:afterAutospacing="0"/>
        <w:ind w:firstLine="708"/>
        <w:jc w:val="both"/>
      </w:pPr>
      <w:r>
        <w:t xml:space="preserve">В </w:t>
      </w:r>
      <w:proofErr w:type="spellStart"/>
      <w:r>
        <w:t>Печенгском</w:t>
      </w:r>
      <w:proofErr w:type="spellEnd"/>
      <w:r>
        <w:t xml:space="preserve"> муниципальном округе в настоящее время осуществляется работа по постепенному внедрению Регионального стандарта, с учетом Методических</w:t>
      </w:r>
      <w:r>
        <w:t xml:space="preserve"> рекомендаций. Завершение указанной работы планируется к концу 2024 года.</w:t>
      </w:r>
    </w:p>
    <w:p w:rsidR="0025767E" w:rsidRDefault="0025767E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25767E" w:rsidRDefault="0025767E">
      <w:pPr>
        <w:ind w:firstLine="709"/>
        <w:jc w:val="both"/>
        <w:rPr>
          <w:color w:val="FF0000"/>
          <w:sz w:val="24"/>
          <w:szCs w:val="24"/>
          <w:highlight w:val="yellow"/>
        </w:rPr>
      </w:pPr>
      <w:bookmarkStart w:id="5" w:name="_Toc106522158"/>
      <w:bookmarkStart w:id="6" w:name="_Toc106522208"/>
      <w:bookmarkStart w:id="7" w:name="_Toc106522353"/>
      <w:bookmarkStart w:id="8" w:name="_Toc106522954"/>
      <w:bookmarkStart w:id="9" w:name="_Toc106526620"/>
    </w:p>
    <w:p w:rsidR="0025767E" w:rsidRDefault="004E32DF">
      <w:pPr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6. Сальдированный финансовый результат (прибыль, убыток) деятельности крупных и средних предприятий</w:t>
      </w:r>
    </w:p>
    <w:p w:rsidR="0025767E" w:rsidRDefault="0025767E">
      <w:pPr>
        <w:ind w:firstLine="709"/>
        <w:jc w:val="center"/>
        <w:rPr>
          <w:b/>
          <w:color w:val="FF0000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январе-июне 2024 года наблюдается </w:t>
      </w:r>
      <w:r>
        <w:rPr>
          <w:color w:val="auto"/>
          <w:sz w:val="24"/>
          <w:szCs w:val="24"/>
        </w:rPr>
        <w:t xml:space="preserve">снижение сальдированного финансового результата деятельности организаций до – 1 968,4 млн. рублей (2 314,6 млн. рублей в январе-июне 2023 года).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Дебиторская задолженность организаций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в январе-июне 2024 года составила 1 03</w:t>
      </w:r>
      <w:r>
        <w:rPr>
          <w:color w:val="auto"/>
          <w:sz w:val="24"/>
          <w:szCs w:val="24"/>
        </w:rPr>
        <w:t xml:space="preserve">1,6 млн. рублей (35,2 % к аналогичному периоду 2023 года). Кредиторская задолженность составила 1 047,3 млн. рублей (93,5% к январю-июню 2023 года).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По данным ТОФСГС Мурманской области</w:t>
      </w:r>
      <w:r>
        <w:rPr>
          <w:color w:val="auto"/>
          <w:sz w:val="24"/>
          <w:szCs w:val="24"/>
        </w:rPr>
        <w:t xml:space="preserve"> за период январь-июнь 2024 года общее количество прибыльных организаци</w:t>
      </w:r>
      <w:r>
        <w:rPr>
          <w:color w:val="auto"/>
          <w:sz w:val="24"/>
          <w:szCs w:val="24"/>
        </w:rPr>
        <w:t xml:space="preserve">й (по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>
        <w:rPr>
          <w:color w:val="auto"/>
          <w:sz w:val="24"/>
          <w:szCs w:val="24"/>
        </w:rPr>
        <w:t>некредитных</w:t>
      </w:r>
      <w:proofErr w:type="spellEnd"/>
      <w:r>
        <w:rPr>
          <w:color w:val="auto"/>
          <w:sz w:val="24"/>
          <w:szCs w:val="24"/>
        </w:rPr>
        <w:t xml:space="preserve"> финансовых организаций, а также организаций, у которых в течение двух предыдущих лет средняя численность раб</w:t>
      </w:r>
      <w:r>
        <w:rPr>
          <w:color w:val="auto"/>
          <w:sz w:val="24"/>
          <w:szCs w:val="24"/>
        </w:rPr>
        <w:t xml:space="preserve">отников не превышает 15 человек, включая работающих по совместительству и договорам  гражданско-правового характера, </w:t>
      </w:r>
      <w:r>
        <w:rPr>
          <w:color w:val="auto"/>
          <w:sz w:val="24"/>
          <w:szCs w:val="24"/>
        </w:rPr>
        <w:lastRenderedPageBreak/>
        <w:t>и в течение двух предыдущих лет</w:t>
      </w:r>
      <w:proofErr w:type="gramEnd"/>
      <w:r>
        <w:rPr>
          <w:color w:val="auto"/>
          <w:sz w:val="24"/>
          <w:szCs w:val="24"/>
        </w:rPr>
        <w:t xml:space="preserve"> годовой оборот организации не превышает 800 млн. рублей) составило 2 единицы (50 % к январю-июню 2023 года)</w:t>
      </w:r>
      <w:r>
        <w:rPr>
          <w:color w:val="auto"/>
          <w:sz w:val="24"/>
          <w:szCs w:val="24"/>
        </w:rPr>
        <w:t>. Общее число убыточных крупных и средних организаций – 2 единицы (0 – по итогам аналогичного периода 2023 года).</w:t>
      </w:r>
      <w:bookmarkStart w:id="10" w:name="_Toc106522162"/>
      <w:bookmarkStart w:id="11" w:name="_Toc106522212"/>
      <w:bookmarkStart w:id="12" w:name="_Toc106522357"/>
      <w:bookmarkStart w:id="13" w:name="_Toc106522958"/>
      <w:bookmarkStart w:id="14" w:name="_Toc106526624"/>
      <w:bookmarkEnd w:id="5"/>
      <w:bookmarkEnd w:id="6"/>
      <w:bookmarkEnd w:id="7"/>
      <w:bookmarkEnd w:id="8"/>
      <w:bookmarkEnd w:id="9"/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Прогнозируемый финансовый результат организаций в январе-декабре 2024 года составит 3 446,3 млн. рублей (январь-декабрь 2023 года – 3 254,3 мл</w:t>
      </w:r>
      <w:r>
        <w:rPr>
          <w:color w:val="auto"/>
          <w:sz w:val="24"/>
          <w:szCs w:val="24"/>
        </w:rPr>
        <w:t>н. рублей).</w:t>
      </w: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7. Труд и занятость</w:t>
      </w: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b/>
          <w:color w:val="FF0000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Среднесписочная численность работников в крупных и средних организациях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2023 году составила 10 042 человек (10 175 человек – в 2022 году).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Среднемесячная номинальная начисленная заработная плата одного работника в организациях, расположенных на территории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 (без субъектов малого предпринимательства), по статистическим данным за 2023 год составила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auto"/>
          <w:sz w:val="24"/>
          <w:szCs w:val="24"/>
          <w:lang w:eastAsia="en-US"/>
        </w:rPr>
        <w:t>95 351,3 рубл</w:t>
      </w:r>
      <w:r>
        <w:rPr>
          <w:rFonts w:eastAsiaTheme="minorHAnsi"/>
          <w:color w:val="auto"/>
          <w:sz w:val="24"/>
          <w:szCs w:val="24"/>
          <w:lang w:eastAsia="en-US"/>
        </w:rPr>
        <w:t>ей, и увеличилась по сравнению с 2022 годом на 4,8 %, ее реальное наполнение уменьшилось на 1,9 %.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 рост среднемесячной заработной платы в 2023 году оказало влияние проведение индексации оплаты труда работников практически всех отраслей экономики, увелич</w:t>
      </w:r>
      <w:r>
        <w:rPr>
          <w:color w:val="auto"/>
          <w:sz w:val="24"/>
          <w:szCs w:val="24"/>
        </w:rPr>
        <w:t xml:space="preserve">ение МРОТ.  </w:t>
      </w:r>
    </w:p>
    <w:tbl>
      <w:tblPr>
        <w:tblW w:w="96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25767E">
        <w:trPr>
          <w:trHeight w:val="385"/>
        </w:trPr>
        <w:tc>
          <w:tcPr>
            <w:tcW w:w="9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5767E" w:rsidRDefault="004E32DF">
            <w:pPr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 данным Росстата в разрезе отраслей экономики среднемесячная заработная плата в организациях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муниципального округа (без субъектов малого предпринимательства) в 2023 году составила: </w:t>
            </w:r>
          </w:p>
          <w:p w:rsidR="0025767E" w:rsidRDefault="0025767E">
            <w:pPr>
              <w:ind w:firstLine="709"/>
              <w:jc w:val="both"/>
              <w:rPr>
                <w:rFonts w:eastAsiaTheme="minorHAnsi"/>
                <w:color w:val="FF0000"/>
                <w:sz w:val="24"/>
                <w:szCs w:val="24"/>
              </w:rPr>
            </w:pPr>
          </w:p>
          <w:p w:rsidR="0025767E" w:rsidRDefault="004E32DF">
            <w:pPr>
              <w:rPr>
                <w:rFonts w:eastAsia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color w:val="FF000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25767E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Вид деятельности</w:t>
            </w:r>
          </w:p>
          <w:p w:rsidR="0025767E" w:rsidRDefault="0025767E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рублей</w:t>
            </w:r>
          </w:p>
          <w:p w:rsidR="0025767E" w:rsidRDefault="0025767E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E" w:rsidRDefault="004E32D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Темп роста</w:t>
            </w:r>
          </w:p>
          <w:p w:rsidR="0025767E" w:rsidRDefault="004E32D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 % к 2022 году</w:t>
            </w:r>
          </w:p>
        </w:tc>
      </w:tr>
      <w:tr w:rsidR="0025767E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Обрабатывающие производства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122 828,3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+0,2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66 560,1</w:t>
            </w:r>
          </w:p>
          <w:p w:rsidR="0025767E" w:rsidRDefault="0025767E">
            <w:pPr>
              <w:rPr>
                <w:rFonts w:eastAsiaTheme="minorHAnsi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+5,9</w:t>
            </w:r>
          </w:p>
          <w:p w:rsidR="0025767E" w:rsidRDefault="0025767E">
            <w:pPr>
              <w:rPr>
                <w:rFonts w:eastAsia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63 855,4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+11,6</w:t>
            </w:r>
          </w:p>
        </w:tc>
      </w:tr>
      <w:tr w:rsidR="0025767E">
        <w:trPr>
          <w:trHeight w:val="109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Транспортировка и хранение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88 106,7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+0,8</w:t>
            </w:r>
          </w:p>
        </w:tc>
      </w:tr>
      <w:tr w:rsidR="0025767E">
        <w:trPr>
          <w:trHeight w:val="246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63 409,8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+9,2</w:t>
            </w:r>
          </w:p>
        </w:tc>
      </w:tr>
      <w:tr w:rsidR="0025767E">
        <w:trPr>
          <w:trHeight w:val="109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в области информации и связи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110 031,0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+4,2</w:t>
            </w:r>
          </w:p>
        </w:tc>
      </w:tr>
      <w:tr w:rsidR="0025767E">
        <w:trPr>
          <w:trHeight w:val="109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финансовая и страховая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136 710,0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+19,9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по операциям с недвижимым имуществом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46 808,2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+12,5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77 840,8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-6,5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67 341,8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+4,9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82 694,8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+11,2</w:t>
            </w:r>
          </w:p>
        </w:tc>
      </w:tr>
      <w:tr w:rsidR="0025767E">
        <w:trPr>
          <w:trHeight w:val="109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65 594,9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+17,5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65 974,5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+13,3</w:t>
            </w:r>
          </w:p>
        </w:tc>
      </w:tr>
      <w:tr w:rsidR="0025767E">
        <w:trPr>
          <w:trHeight w:val="247"/>
        </w:trPr>
        <w:tc>
          <w:tcPr>
            <w:tcW w:w="6204" w:type="dxa"/>
          </w:tcPr>
          <w:p w:rsidR="0025767E" w:rsidRDefault="004E32DF">
            <w:pPr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69 986,1 </w:t>
            </w:r>
          </w:p>
        </w:tc>
        <w:tc>
          <w:tcPr>
            <w:tcW w:w="1701" w:type="dxa"/>
          </w:tcPr>
          <w:p w:rsidR="0025767E" w:rsidRDefault="004E32DF">
            <w:pPr>
              <w:jc w:val="righ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+10,1</w:t>
            </w:r>
          </w:p>
        </w:tc>
      </w:tr>
      <w:tr w:rsidR="0025767E">
        <w:trPr>
          <w:trHeight w:val="109"/>
        </w:trPr>
        <w:tc>
          <w:tcPr>
            <w:tcW w:w="6204" w:type="dxa"/>
          </w:tcPr>
          <w:p w:rsidR="0025767E" w:rsidRDefault="0025767E">
            <w:pPr>
              <w:rPr>
                <w:rFonts w:eastAsiaTheme="minorHAns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5767E" w:rsidRDefault="0025767E">
            <w:pPr>
              <w:jc w:val="right"/>
              <w:rPr>
                <w:rFonts w:eastAsiaTheme="minorHAns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5767E" w:rsidRDefault="0025767E">
            <w:pPr>
              <w:jc w:val="center"/>
              <w:rPr>
                <w:rFonts w:eastAsiaTheme="minorHAnsi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Ср</w:t>
      </w:r>
      <w:r>
        <w:rPr>
          <w:color w:val="auto"/>
        </w:rPr>
        <w:t xml:space="preserve">еднегодовая численность населения в трудоспособном возрасте в 2023 году снизилась на 3,3 % по сравнению с 2022 годом, и составила 19 110 человек. На снижение численности граждан трудоспособного возраста повлияли естественная и миграционная убыль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Численность официально зарегистрированных безработных в среднем за 2023 год составила 150 человек, уровень безработицы составил 0,8 % (в 2022 году – 216 человек, 1,1% соответственно). </w:t>
      </w:r>
    </w:p>
    <w:p w:rsidR="0025767E" w:rsidRDefault="004E32DF">
      <w:pPr>
        <w:pStyle w:val="Default"/>
        <w:ind w:firstLine="709"/>
        <w:jc w:val="both"/>
        <w:rPr>
          <w:color w:val="auto"/>
          <w:highlight w:val="yellow"/>
        </w:rPr>
      </w:pPr>
      <w:r>
        <w:rPr>
          <w:color w:val="auto"/>
        </w:rPr>
        <w:t>Ожидается, что среднегодовая численн</w:t>
      </w:r>
      <w:r>
        <w:rPr>
          <w:color w:val="auto"/>
        </w:rPr>
        <w:t xml:space="preserve">ость официально зарегистрированных безработных за 2024 год составит 120 человек или 0,6 % к среднегодовой численности населения в трудоспособном возрасте, что на 25,0 % ниже, чем за 2023 год. </w:t>
      </w:r>
    </w:p>
    <w:p w:rsidR="0025767E" w:rsidRDefault="004E32DF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Потребность организаций в работниках, заявленная в службу занят</w:t>
      </w:r>
      <w:r>
        <w:rPr>
          <w:color w:val="auto"/>
          <w:sz w:val="24"/>
          <w:szCs w:val="24"/>
        </w:rPr>
        <w:t>ости на 01.01.2024 года - 516 человек, нагрузка незанятого населения на одну заявленную вакансию (коэффициент напряженности) – 0,18 человека на 1 рабочее место. Для сравнения, на 01.01.2023 года число заявленных вакансий составило 600 человека, коэффициент</w:t>
      </w:r>
      <w:r>
        <w:rPr>
          <w:color w:val="auto"/>
          <w:sz w:val="24"/>
          <w:szCs w:val="24"/>
        </w:rPr>
        <w:t xml:space="preserve"> напряженности – 0,37 человека на 1 рабочее место. </w:t>
      </w:r>
    </w:p>
    <w:p w:rsidR="0025767E" w:rsidRDefault="004E32DF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данным Отделения Фонда пенсионного и социального страхования Российской Федерации по Мурманской области численность пенсионеров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муниципальном округе (без учета военнослужащих, которым уста</w:t>
      </w:r>
      <w:r>
        <w:rPr>
          <w:color w:val="auto"/>
          <w:sz w:val="24"/>
          <w:szCs w:val="24"/>
        </w:rPr>
        <w:t xml:space="preserve">новлена страховая пенсия по старости, срочная пенсионная выплата и накопительная пенсия) в 2023 году составила 9,5 </w:t>
      </w:r>
      <w:proofErr w:type="spellStart"/>
      <w:r>
        <w:rPr>
          <w:color w:val="auto"/>
          <w:sz w:val="24"/>
          <w:szCs w:val="24"/>
        </w:rPr>
        <w:t>тыс</w:t>
      </w:r>
      <w:proofErr w:type="gramStart"/>
      <w:r>
        <w:rPr>
          <w:color w:val="auto"/>
          <w:sz w:val="24"/>
          <w:szCs w:val="24"/>
        </w:rPr>
        <w:t>.ч</w:t>
      </w:r>
      <w:proofErr w:type="gramEnd"/>
      <w:r>
        <w:rPr>
          <w:color w:val="auto"/>
          <w:sz w:val="24"/>
          <w:szCs w:val="24"/>
        </w:rPr>
        <w:t>еловек</w:t>
      </w:r>
      <w:proofErr w:type="spellEnd"/>
      <w:r>
        <w:rPr>
          <w:color w:val="auto"/>
          <w:sz w:val="24"/>
          <w:szCs w:val="24"/>
        </w:rPr>
        <w:t>, из них работающие 3,3 тыс. человек. Оценка численности в 2024 году – 9,4 тыс. пенсионеров, из них 3,2 тыс. – работающие. Средний</w:t>
      </w:r>
      <w:r>
        <w:rPr>
          <w:color w:val="auto"/>
          <w:sz w:val="24"/>
          <w:szCs w:val="24"/>
        </w:rPr>
        <w:t xml:space="preserve"> размер </w:t>
      </w:r>
      <w:proofErr w:type="spellStart"/>
      <w:r>
        <w:rPr>
          <w:color w:val="auto"/>
          <w:sz w:val="24"/>
          <w:szCs w:val="24"/>
        </w:rPr>
        <w:t>пеннсии</w:t>
      </w:r>
      <w:proofErr w:type="spellEnd"/>
      <w:r>
        <w:rPr>
          <w:color w:val="auto"/>
          <w:sz w:val="24"/>
          <w:szCs w:val="24"/>
        </w:rPr>
        <w:t xml:space="preserve"> в 2023 году – 25 649,49 рублей (+5,6 % в сравнении с показателем 2022 года – 24 282,06 рублей). Прогнозируемы средний размер пенсии в 2024 году – 27 573,87 рублей.</w:t>
      </w:r>
    </w:p>
    <w:p w:rsidR="0025767E" w:rsidRDefault="004E32DF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Среднесписочная численность работников организаций (без субъектов малого пре</w:t>
      </w:r>
      <w:r>
        <w:rPr>
          <w:color w:val="auto"/>
          <w:sz w:val="24"/>
          <w:szCs w:val="24"/>
        </w:rPr>
        <w:t xml:space="preserve">дпринимательства) по </w:t>
      </w:r>
      <w:proofErr w:type="spellStart"/>
      <w:r>
        <w:rPr>
          <w:color w:val="auto"/>
          <w:sz w:val="24"/>
          <w:szCs w:val="24"/>
        </w:rPr>
        <w:t>Печенгскому</w:t>
      </w:r>
      <w:proofErr w:type="spellEnd"/>
      <w:r>
        <w:rPr>
          <w:color w:val="auto"/>
          <w:sz w:val="24"/>
          <w:szCs w:val="24"/>
        </w:rPr>
        <w:t xml:space="preserve"> муниципальному округу за январь – июнь 2024 года составила 9 438 человек (за январь – июнь 2023 года – 10 192 человека).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Ожидается, что в 2024 году среднесписочная численность работников </w:t>
      </w:r>
      <w:proofErr w:type="spellStart"/>
      <w:proofErr w:type="gramStart"/>
      <w:r>
        <w:rPr>
          <w:color w:val="auto"/>
        </w:rPr>
        <w:t>работников</w:t>
      </w:r>
      <w:proofErr w:type="spellEnd"/>
      <w:proofErr w:type="gramEnd"/>
      <w:r>
        <w:rPr>
          <w:color w:val="auto"/>
        </w:rPr>
        <w:t xml:space="preserve"> организаций  (без субъект</w:t>
      </w:r>
      <w:r>
        <w:rPr>
          <w:color w:val="auto"/>
        </w:rPr>
        <w:t xml:space="preserve">ов малого предпринимательства)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составит 9 438 человек.</w:t>
      </w:r>
    </w:p>
    <w:p w:rsidR="0025767E" w:rsidRDefault="004E32DF">
      <w:pPr>
        <w:pStyle w:val="Default"/>
        <w:ind w:firstLine="709"/>
        <w:jc w:val="both"/>
        <w:rPr>
          <w:color w:val="FF0000"/>
        </w:rPr>
      </w:pPr>
      <w:r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>
        <w:rPr>
          <w:color w:val="auto"/>
        </w:rPr>
        <w:t>Печенгскому</w:t>
      </w:r>
      <w:proofErr w:type="spellEnd"/>
      <w:r>
        <w:rPr>
          <w:color w:val="auto"/>
        </w:rPr>
        <w:t xml:space="preserve"> муниципальному округу за январь – июнь 2024 го</w:t>
      </w:r>
      <w:r>
        <w:rPr>
          <w:color w:val="auto"/>
        </w:rPr>
        <w:t xml:space="preserve">да составила 102 324,3 рублей и увеличилась по сравнению с аналогичным периодом прошлого года на 12,5%, ее реальное содержание увеличилось на 9,3%.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 оценке, в 2024 году среднемесячная заработная плата одного работника в крупных и средних организациях по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Печенгскому</w:t>
      </w:r>
      <w:proofErr w:type="spellEnd"/>
      <w:r>
        <w:rPr>
          <w:color w:val="auto"/>
        </w:rPr>
        <w:t xml:space="preserve"> муниципальному округу вырастет на 12,1% и составит 106 900,0 рублей. Прогнозируемый уровень реального содержания заработной платы увеличится на</w:t>
      </w:r>
      <w:r>
        <w:rPr>
          <w:color w:val="FF0000"/>
        </w:rPr>
        <w:t xml:space="preserve"> </w:t>
      </w:r>
      <w:r>
        <w:rPr>
          <w:color w:val="auto"/>
        </w:rPr>
        <w:t xml:space="preserve">5,2 % в сравнении с </w:t>
      </w:r>
      <w:proofErr w:type="spellStart"/>
      <w:r>
        <w:rPr>
          <w:color w:val="auto"/>
        </w:rPr>
        <w:t>аналогогичным</w:t>
      </w:r>
      <w:proofErr w:type="spellEnd"/>
      <w:r>
        <w:rPr>
          <w:color w:val="auto"/>
        </w:rPr>
        <w:t xml:space="preserve"> периодом  2022 года и составит 103,2 %. </w:t>
      </w:r>
      <w:bookmarkEnd w:id="10"/>
      <w:bookmarkEnd w:id="11"/>
      <w:bookmarkEnd w:id="12"/>
      <w:bookmarkEnd w:id="13"/>
      <w:bookmarkEnd w:id="14"/>
    </w:p>
    <w:p w:rsidR="0025767E" w:rsidRDefault="0025767E">
      <w:pPr>
        <w:ind w:firstLine="708"/>
        <w:rPr>
          <w:color w:val="FF0000"/>
          <w:sz w:val="24"/>
          <w:szCs w:val="24"/>
          <w:highlight w:val="yellow"/>
        </w:rPr>
      </w:pPr>
    </w:p>
    <w:p w:rsidR="0025767E" w:rsidRDefault="0025767E">
      <w:pPr>
        <w:ind w:firstLine="708"/>
        <w:rPr>
          <w:color w:val="FF0000"/>
          <w:sz w:val="24"/>
          <w:szCs w:val="24"/>
          <w:highlight w:val="yellow"/>
        </w:rPr>
      </w:pP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8.  Развитие социальной сферы</w:t>
      </w:r>
    </w:p>
    <w:p w:rsidR="0025767E" w:rsidRDefault="0025767E">
      <w:pPr>
        <w:ind w:left="540"/>
        <w:jc w:val="center"/>
        <w:rPr>
          <w:b/>
          <w:color w:val="FF0000"/>
          <w:sz w:val="24"/>
          <w:szCs w:val="24"/>
          <w:highlight w:val="yellow"/>
        </w:rPr>
      </w:pP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Сеть муниципальных образовательных учреждений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представлена 10 общеобразовательными организациями, 14 дошкольными образовательными организациями и двумя группами дошкольного возраста в МБОУ СО</w:t>
      </w:r>
      <w:r>
        <w:rPr>
          <w:color w:val="auto"/>
        </w:rPr>
        <w:t xml:space="preserve">Ш № 11 </w:t>
      </w:r>
      <w:proofErr w:type="spellStart"/>
      <w:r>
        <w:rPr>
          <w:color w:val="auto"/>
        </w:rPr>
        <w:t>н.п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Раякоски</w:t>
      </w:r>
      <w:proofErr w:type="spellEnd"/>
      <w:r>
        <w:rPr>
          <w:color w:val="auto"/>
        </w:rPr>
        <w:t xml:space="preserve"> (далее – ДОУ).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Численность детей в ДОУ в 2023 году составила 1 862 детей, прогнозируемая в 2024 году  – 1 848 детей. </w:t>
      </w:r>
      <w:r>
        <w:t xml:space="preserve">Снижение показателя по причине оттока детей из детских садов, расположенных на территориях воинских частей в </w:t>
      </w:r>
      <w:proofErr w:type="spellStart"/>
      <w:r>
        <w:t>пгт</w:t>
      </w:r>
      <w:proofErr w:type="spellEnd"/>
      <w:r>
        <w:t>. Пече</w:t>
      </w:r>
      <w:r>
        <w:t xml:space="preserve">нга, </w:t>
      </w:r>
      <w:proofErr w:type="spellStart"/>
      <w:r>
        <w:t>нп</w:t>
      </w:r>
      <w:proofErr w:type="spellEnd"/>
      <w:r>
        <w:t xml:space="preserve">. Спутник, </w:t>
      </w:r>
      <w:proofErr w:type="spellStart"/>
      <w:r>
        <w:t>нп</w:t>
      </w:r>
      <w:proofErr w:type="spellEnd"/>
      <w:r>
        <w:t xml:space="preserve">. </w:t>
      </w:r>
      <w:proofErr w:type="spellStart"/>
      <w:r>
        <w:t>Луостари</w:t>
      </w:r>
      <w:proofErr w:type="spellEnd"/>
      <w:r>
        <w:t xml:space="preserve"> (отцы направлены на СВО, а мамы с детьми выехали в другие регионы РФ).</w:t>
      </w:r>
    </w:p>
    <w:p w:rsidR="0025767E" w:rsidRDefault="004E32DF">
      <w:pPr>
        <w:tabs>
          <w:tab w:val="left" w:pos="709"/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proofErr w:type="spellStart"/>
      <w:r>
        <w:rPr>
          <w:sz w:val="24"/>
          <w:szCs w:val="24"/>
        </w:rPr>
        <w:t>Печенгском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муницпальном</w:t>
      </w:r>
      <w:proofErr w:type="spellEnd"/>
      <w:r>
        <w:rPr>
          <w:sz w:val="24"/>
          <w:szCs w:val="24"/>
        </w:rPr>
        <w:t xml:space="preserve"> округе  полностью ликвидирована актуальная очередность в детские сады. </w:t>
      </w:r>
      <w:r>
        <w:rPr>
          <w:color w:val="auto"/>
          <w:sz w:val="24"/>
          <w:szCs w:val="24"/>
        </w:rPr>
        <w:t>Услугами дошкольн</w:t>
      </w:r>
      <w:r>
        <w:rPr>
          <w:color w:val="auto"/>
          <w:sz w:val="24"/>
          <w:szCs w:val="24"/>
        </w:rPr>
        <w:t xml:space="preserve">ого образования обеспечены 100 %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Показатель обеспеченности дошкольными образовательными учреждениями 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</w:t>
      </w:r>
      <w:r>
        <w:rPr>
          <w:color w:val="auto"/>
        </w:rPr>
        <w:t>ти» как отношение числа мест в дошкольных образовательных учреждениях (умноженного на 100 к численности детей в возрасте от 1 года до 6 лет включительно) в 2023 году составил 125,1 места на 100 детей (в 2022 году – 115,1 мест</w:t>
      </w:r>
      <w:proofErr w:type="gramEnd"/>
      <w:r>
        <w:rPr>
          <w:color w:val="auto"/>
        </w:rPr>
        <w:t xml:space="preserve"> на 100 детей). Обеспеченность </w:t>
      </w:r>
      <w:r>
        <w:rPr>
          <w:color w:val="auto"/>
        </w:rPr>
        <w:t xml:space="preserve">дошкольными образовательными учреждениями в 2024 году составит 129,1 мест на 100 детей. </w:t>
      </w:r>
    </w:p>
    <w:p w:rsidR="0025767E" w:rsidRDefault="004E32DF">
      <w:pPr>
        <w:pStyle w:val="Default"/>
        <w:ind w:firstLine="709"/>
        <w:jc w:val="both"/>
        <w:rPr>
          <w:color w:val="auto"/>
          <w:highlight w:val="yellow"/>
        </w:rPr>
      </w:pPr>
      <w:r>
        <w:rPr>
          <w:color w:val="auto"/>
        </w:rPr>
        <w:t xml:space="preserve">Численность учащихся в общеобразовательных организациях в 2023 году составила 4 153 человека. Прогноз численности обучающихся </w:t>
      </w:r>
      <w:proofErr w:type="gramStart"/>
      <w:r>
        <w:rPr>
          <w:color w:val="auto"/>
        </w:rPr>
        <w:t>на конец</w:t>
      </w:r>
      <w:proofErr w:type="gramEnd"/>
      <w:r>
        <w:rPr>
          <w:color w:val="auto"/>
        </w:rPr>
        <w:t xml:space="preserve"> 2024 года  – 4 061 человек.</w:t>
      </w:r>
    </w:p>
    <w:p w:rsidR="0025767E" w:rsidRDefault="004E32DF">
      <w:pPr>
        <w:pStyle w:val="Default"/>
        <w:ind w:firstLine="709"/>
        <w:jc w:val="both"/>
      </w:pPr>
      <w:r>
        <w:rPr>
          <w:color w:val="auto"/>
        </w:rPr>
        <w:t>В во</w:t>
      </w:r>
      <w:r>
        <w:rPr>
          <w:color w:val="auto"/>
        </w:rPr>
        <w:t xml:space="preserve">сьми общеобразовательных организациях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осуществляется среднее общее образование, две школы - </w:t>
      </w:r>
      <w:r>
        <w:t>основные общеобразовательные. В сельской местности функционирует 3 общеобразовательные школы (30% от общей численности учреждений)</w:t>
      </w:r>
      <w:r>
        <w:t xml:space="preserve">. Две школы имеют классы для детей с ОВЗ (МБОУ ООШ № 20, МБОУ ООШ № 22). </w:t>
      </w:r>
    </w:p>
    <w:p w:rsidR="0025767E" w:rsidRDefault="004E32DF">
      <w:pPr>
        <w:ind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100 % школьников обучались по федеральным государственным образовательным стандартам начального общего, основного общего и среднего общего образования. С 01.09.2023 года </w:t>
      </w:r>
      <w:r>
        <w:rPr>
          <w:sz w:val="24"/>
          <w:szCs w:val="24"/>
        </w:rPr>
        <w:t>осуществлен переход на Федеральные образовательные программы общего образования.</w:t>
      </w:r>
    </w:p>
    <w:p w:rsidR="0025767E" w:rsidRDefault="004E32DF">
      <w:pPr>
        <w:ind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 подвоз 187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СОШ № 7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 xml:space="preserve"> и 389 обучающихся МБОУ СОШ № 5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Печенга к месту учебы и обратно, а также для занятий в кружках и секциях. В 2</w:t>
      </w:r>
      <w:r>
        <w:rPr>
          <w:sz w:val="24"/>
          <w:szCs w:val="24"/>
        </w:rPr>
        <w:t>023 году в рамках реализации стратегического плана «На Севере – жить»,  благодаря поддержке федерального правительства, МБОУ СОШ №№5,7 были переданы 4 новых школьных автобуса, что позволило полностью обновить школьный автопарк, а также ввести новый маршрут</w:t>
      </w:r>
      <w:r>
        <w:rPr>
          <w:sz w:val="24"/>
          <w:szCs w:val="24"/>
        </w:rPr>
        <w:t xml:space="preserve"> Спутник-</w:t>
      </w:r>
      <w:proofErr w:type="spellStart"/>
      <w:r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 xml:space="preserve"> для подвоза 20 обучающихся в МБОУ СОШ №23. Все автобусы  соответствуют современным требованиям – оснащены </w:t>
      </w:r>
      <w:proofErr w:type="spellStart"/>
      <w:r>
        <w:rPr>
          <w:sz w:val="24"/>
          <w:szCs w:val="24"/>
        </w:rPr>
        <w:t>тахографами</w:t>
      </w:r>
      <w:proofErr w:type="spellEnd"/>
      <w:r>
        <w:rPr>
          <w:sz w:val="24"/>
          <w:szCs w:val="24"/>
        </w:rPr>
        <w:t>, спутниковой навигацией ГЛОНАСС, маячками желтого или оранжевого цветов.</w:t>
      </w:r>
    </w:p>
    <w:p w:rsidR="0025767E" w:rsidRDefault="004E32DF">
      <w:pPr>
        <w:ind w:firstLine="709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По итогам учебного года выросло количество у</w:t>
      </w:r>
      <w:r>
        <w:rPr>
          <w:color w:val="auto"/>
          <w:sz w:val="24"/>
          <w:szCs w:val="24"/>
        </w:rPr>
        <w:t xml:space="preserve">чащихся успешно освоивших программы общего образования. Отмечается устойчивая тенденция повышения качества образования. </w:t>
      </w:r>
      <w:r>
        <w:rPr>
          <w:sz w:val="24"/>
          <w:szCs w:val="24"/>
        </w:rPr>
        <w:t xml:space="preserve">Аттестат с отличием и медаль «За особые успехи в учении» в 2023 году получили 12 обучающихся - МБОУ СОШ №№ 3 (2 человека), МБОУ СОШ № 5 </w:t>
      </w:r>
      <w:r>
        <w:rPr>
          <w:sz w:val="24"/>
          <w:szCs w:val="24"/>
        </w:rPr>
        <w:t>(1 человек), МОУ СОШ № 11 (1 человек), МБОУ СОШ № 19 (8 человек).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Доля обучающихся в муниципальных общеобразовательных организациях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округа, занимающихся в одну смену, в общей численности обучающихся составила в 2023 году 89,9 %. </w:t>
      </w:r>
      <w:r>
        <w:rPr>
          <w:color w:val="auto"/>
        </w:rPr>
        <w:t xml:space="preserve"> Прогнозное значение показателя в 2024 году также ожидается на уровне 90,2 %. 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 мест, строительство ко</w:t>
      </w:r>
      <w:r>
        <w:rPr>
          <w:color w:val="auto"/>
        </w:rPr>
        <w:t>торой начато в</w:t>
      </w:r>
      <w:proofErr w:type="gramEnd"/>
      <w:r>
        <w:rPr>
          <w:color w:val="auto"/>
        </w:rPr>
        <w:t xml:space="preserve"> 2023 году в </w:t>
      </w:r>
      <w:proofErr w:type="spellStart"/>
      <w:r>
        <w:rPr>
          <w:color w:val="auto"/>
        </w:rPr>
        <w:t>пгт</w:t>
      </w:r>
      <w:proofErr w:type="spellEnd"/>
      <w:r>
        <w:rPr>
          <w:color w:val="auto"/>
        </w:rPr>
        <w:t xml:space="preserve">. Печенга.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t xml:space="preserve">Система общего образования </w:t>
      </w:r>
      <w:proofErr w:type="spellStart"/>
      <w:r>
        <w:t>Печенгского</w:t>
      </w:r>
      <w:proofErr w:type="spellEnd"/>
      <w:r>
        <w:t xml:space="preserve"> округа развивается в направлении обеспечения качества образования, совершенствования структуры и содержания всех уровней образования, технологии обучения и воспитания детей.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учреждении среднего профессионального образования (ГАПОУ МО «</w:t>
      </w:r>
      <w:proofErr w:type="spellStart"/>
      <w:r>
        <w:rPr>
          <w:color w:val="auto"/>
        </w:rPr>
        <w:t>Печенгский</w:t>
      </w:r>
      <w:proofErr w:type="spellEnd"/>
      <w:r>
        <w:rPr>
          <w:color w:val="auto"/>
        </w:rPr>
        <w:t xml:space="preserve"> политехнический техникум») контингент учащихся в 2023 году составил 228 человек, что меньше на 3,4 %, чем в 2022 году.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В связи с введением с 01.09.2023 года новых Федеральных госуда</w:t>
      </w:r>
      <w:r>
        <w:rPr>
          <w:color w:val="auto"/>
        </w:rPr>
        <w:t>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 произошло уменьшение контингента обучающихся. Ожидается, что прогнозируемая численность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в 2024 году снизится на 11,4 % в сравнении с 2023 годом и составит 202 человека. 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01.09.2023 года ГАПОУ МО «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политехнический техникум» принимает участие в качестве сетевой образовательной организации в реализации Федерального проек</w:t>
      </w:r>
      <w:r>
        <w:rPr>
          <w:color w:val="auto"/>
          <w:sz w:val="24"/>
          <w:szCs w:val="24"/>
        </w:rPr>
        <w:t>та «</w:t>
      </w:r>
      <w:proofErr w:type="spellStart"/>
      <w:r>
        <w:rPr>
          <w:color w:val="auto"/>
          <w:sz w:val="24"/>
          <w:szCs w:val="24"/>
        </w:rPr>
        <w:t>Профессионалитет</w:t>
      </w:r>
      <w:proofErr w:type="spellEnd"/>
      <w:r>
        <w:rPr>
          <w:color w:val="auto"/>
          <w:sz w:val="24"/>
          <w:szCs w:val="24"/>
        </w:rPr>
        <w:t xml:space="preserve">» в кластере образование на </w:t>
      </w:r>
      <w:proofErr w:type="spellStart"/>
      <w:r>
        <w:rPr>
          <w:color w:val="auto"/>
          <w:sz w:val="24"/>
          <w:szCs w:val="24"/>
        </w:rPr>
        <w:t>Мурмане</w:t>
      </w:r>
      <w:proofErr w:type="spellEnd"/>
      <w:r>
        <w:rPr>
          <w:color w:val="auto"/>
          <w:sz w:val="24"/>
          <w:szCs w:val="24"/>
        </w:rPr>
        <w:t xml:space="preserve">» (специальность «Дошкольное образование»). </w:t>
      </w:r>
    </w:p>
    <w:p w:rsidR="0025767E" w:rsidRDefault="004E32DF">
      <w:pPr>
        <w:ind w:firstLine="709"/>
        <w:jc w:val="both"/>
        <w:rPr>
          <w:b/>
          <w:bCs/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2024 году закончен ремонт в двух мастерских </w:t>
      </w:r>
      <w:r>
        <w:rPr>
          <w:color w:val="auto"/>
          <w:sz w:val="24"/>
          <w:szCs w:val="24"/>
        </w:rPr>
        <w:t>ГАПОУ МО «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политехнический техникум» «</w:t>
      </w:r>
      <w:r>
        <w:rPr>
          <w:sz w:val="24"/>
          <w:szCs w:val="24"/>
        </w:rPr>
        <w:t>Электромонтаж» и «Обработка листового металла», закуплено обор</w:t>
      </w:r>
      <w:r>
        <w:rPr>
          <w:sz w:val="24"/>
          <w:szCs w:val="24"/>
        </w:rPr>
        <w:t xml:space="preserve">удование для указанных мастерских: гильотина, вальцовочный станок, </w:t>
      </w:r>
      <w:proofErr w:type="spellStart"/>
      <w:r>
        <w:rPr>
          <w:sz w:val="24"/>
          <w:szCs w:val="24"/>
        </w:rPr>
        <w:t>листогибный</w:t>
      </w:r>
      <w:proofErr w:type="spellEnd"/>
      <w:r>
        <w:rPr>
          <w:sz w:val="24"/>
          <w:szCs w:val="24"/>
        </w:rPr>
        <w:t xml:space="preserve"> станок, сверлильный станок, наждачный станок, сварочно-сборочные столы, индукционный нагреватель, паяльные станции, инструментальный шкаф, стеллажи.</w:t>
      </w:r>
      <w:proofErr w:type="gramEnd"/>
      <w:r>
        <w:rPr>
          <w:sz w:val="24"/>
          <w:szCs w:val="24"/>
        </w:rPr>
        <w:t xml:space="preserve"> Проводятся работы ремонту ка</w:t>
      </w:r>
      <w:r>
        <w:rPr>
          <w:sz w:val="24"/>
          <w:szCs w:val="24"/>
        </w:rPr>
        <w:t xml:space="preserve">бинетов «Информационные технологии в профессиональной деятельности», «Электрооборудование и электроснабжение», «Лаборатории горных дисциплин», мастерской по ремонту легковых автомобилей, ремонту фасада учебного и производственного корпусов </w:t>
      </w:r>
      <w:r>
        <w:rPr>
          <w:color w:val="auto"/>
          <w:sz w:val="24"/>
          <w:szCs w:val="24"/>
        </w:rPr>
        <w:t>ГАПОУ МО «</w:t>
      </w:r>
      <w:proofErr w:type="spellStart"/>
      <w:r>
        <w:rPr>
          <w:color w:val="auto"/>
          <w:sz w:val="24"/>
          <w:szCs w:val="24"/>
        </w:rPr>
        <w:t>Печенг</w:t>
      </w:r>
      <w:r>
        <w:rPr>
          <w:color w:val="auto"/>
          <w:sz w:val="24"/>
          <w:szCs w:val="24"/>
        </w:rPr>
        <w:t>ский</w:t>
      </w:r>
      <w:proofErr w:type="spellEnd"/>
      <w:r>
        <w:rPr>
          <w:color w:val="auto"/>
          <w:sz w:val="24"/>
          <w:szCs w:val="24"/>
        </w:rPr>
        <w:t xml:space="preserve"> политехнический техникум»</w:t>
      </w:r>
      <w:r>
        <w:rPr>
          <w:sz w:val="24"/>
          <w:szCs w:val="24"/>
        </w:rPr>
        <w:t xml:space="preserve">, ремонту комнат общежития техникума. </w:t>
      </w:r>
      <w:r>
        <w:rPr>
          <w:color w:val="auto"/>
          <w:sz w:val="24"/>
          <w:szCs w:val="24"/>
        </w:rPr>
        <w:t xml:space="preserve">Продолжается работа по реализации Стратегии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политехнического техникума на 2024-2033 годы.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Муниципальное бюджетное культурно-просветительное учреждение «</w:t>
      </w:r>
      <w:proofErr w:type="spellStart"/>
      <w:r>
        <w:rPr>
          <w:color w:val="auto"/>
        </w:rPr>
        <w:t>Печенгское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меж</w:t>
      </w:r>
      <w:r>
        <w:rPr>
          <w:color w:val="auto"/>
        </w:rPr>
        <w:t>поселенческое</w:t>
      </w:r>
      <w:proofErr w:type="spellEnd"/>
      <w:r>
        <w:rPr>
          <w:color w:val="auto"/>
        </w:rPr>
        <w:t xml:space="preserve"> библиотечное объединение» объединяет 10 библиотек. В 2023 году обеспеченность общедоступными библиотеками в расчете на 100 тыс. человек населения составила 33,2 единиц. В 2024 году данный показатель увеличится до 34,3 единиц (за счет сокращен</w:t>
      </w:r>
      <w:r>
        <w:rPr>
          <w:color w:val="auto"/>
        </w:rPr>
        <w:t xml:space="preserve">ия численности населения).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Количество учреждений культурно-досугового типа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– 5 (МУК «ДК «Октябрь», МБУК «ДК Восход», МБУ «КДЦ «Платформа», сельский клуб в </w:t>
      </w:r>
      <w:proofErr w:type="spellStart"/>
      <w:r>
        <w:rPr>
          <w:color w:val="auto"/>
        </w:rPr>
        <w:t>нп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аякоски</w:t>
      </w:r>
      <w:proofErr w:type="spellEnd"/>
      <w:r>
        <w:rPr>
          <w:color w:val="auto"/>
        </w:rPr>
        <w:t xml:space="preserve">, сельский клуб в </w:t>
      </w:r>
      <w:proofErr w:type="spellStart"/>
      <w:r>
        <w:rPr>
          <w:color w:val="auto"/>
        </w:rPr>
        <w:t>нп.Борисоглебский</w:t>
      </w:r>
      <w:proofErr w:type="spellEnd"/>
      <w:r>
        <w:rPr>
          <w:color w:val="auto"/>
        </w:rPr>
        <w:t>).</w:t>
      </w:r>
    </w:p>
    <w:p w:rsidR="0025767E" w:rsidRDefault="004E32DF">
      <w:pPr>
        <w:shd w:val="clear" w:color="auto" w:fill="FFFFFF"/>
        <w:ind w:firstLine="709"/>
        <w:jc w:val="both"/>
        <w:outlineLvl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01.09.2023 года в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 xml:space="preserve">. Никель состоялось открытие МБУ «ЦП и РМИ» - муниципального бюджетного учреждения «Центр поддержки и развития молодежных инициатив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округа», которое является учреждением, созданным для предоставления услуг по осуществлению ме</w:t>
      </w:r>
      <w:r>
        <w:rPr>
          <w:color w:val="auto"/>
          <w:sz w:val="24"/>
          <w:szCs w:val="24"/>
        </w:rPr>
        <w:t xml:space="preserve">роприятий по работе с подростками и молодежью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муниципальном округе. На сегодняшний день на базе учреждения функционируют 3 молодежных пространства «Сопки»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 xml:space="preserve">. Никель, г. Заполярный и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Показатель обеспеченности населения учрежде</w:t>
      </w:r>
      <w:r>
        <w:rPr>
          <w:color w:val="auto"/>
        </w:rPr>
        <w:t xml:space="preserve">ниями культурно-досугового типа в 2023 году 16,6 единиц на 100 </w:t>
      </w:r>
      <w:proofErr w:type="spellStart"/>
      <w:r>
        <w:rPr>
          <w:color w:val="auto"/>
        </w:rPr>
        <w:t>тыс</w:t>
      </w:r>
      <w:proofErr w:type="gramStart"/>
      <w:r>
        <w:rPr>
          <w:color w:val="auto"/>
        </w:rPr>
        <w:t>.н</w:t>
      </w:r>
      <w:proofErr w:type="gramEnd"/>
      <w:r>
        <w:rPr>
          <w:color w:val="auto"/>
        </w:rPr>
        <w:t>аселения</w:t>
      </w:r>
      <w:proofErr w:type="spellEnd"/>
      <w:r>
        <w:rPr>
          <w:color w:val="auto"/>
        </w:rPr>
        <w:t xml:space="preserve"> (16,0 на 100 </w:t>
      </w:r>
      <w:proofErr w:type="spellStart"/>
      <w:r>
        <w:rPr>
          <w:color w:val="auto"/>
        </w:rPr>
        <w:t>тыс.населения</w:t>
      </w:r>
      <w:proofErr w:type="spellEnd"/>
      <w:r>
        <w:rPr>
          <w:color w:val="auto"/>
        </w:rPr>
        <w:t xml:space="preserve"> – в 2022 году). В 2024 году данный показатель прогнозируется за счет снижения численности населения на уровне 17,1 на 100 </w:t>
      </w:r>
      <w:proofErr w:type="spellStart"/>
      <w:r>
        <w:rPr>
          <w:color w:val="auto"/>
        </w:rPr>
        <w:t>тыс</w:t>
      </w:r>
      <w:proofErr w:type="gramStart"/>
      <w:r>
        <w:rPr>
          <w:color w:val="auto"/>
        </w:rPr>
        <w:t>.н</w:t>
      </w:r>
      <w:proofErr w:type="gramEnd"/>
      <w:r>
        <w:rPr>
          <w:color w:val="auto"/>
        </w:rPr>
        <w:t>аселения</w:t>
      </w:r>
      <w:proofErr w:type="spellEnd"/>
      <w:r>
        <w:rPr>
          <w:color w:val="auto"/>
        </w:rPr>
        <w:t xml:space="preserve">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 территории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открыт для посетителей Историко-краеведческий музей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района. Осуществляют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2024 году доля систематически занимающихся физической культурой и спортом ожидается на уровне 67,1 % от численности жителей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в возрасте от 3-х до 79 лет включительно (65,6 % - в 2023 году). Рост % занимающихся связан с ул</w:t>
      </w:r>
      <w:r>
        <w:rPr>
          <w:color w:val="auto"/>
        </w:rPr>
        <w:t>учшением материально-технической базы и модернизацией учреждений физической культуры и спорта, популяризацией здорового образа жизни, вовлечением молодежи в спортивные мероприятия, открытием новых спортивных пространств «</w:t>
      </w:r>
      <w:proofErr w:type="spellStart"/>
      <w:r>
        <w:rPr>
          <w:color w:val="auto"/>
        </w:rPr>
        <w:t>Сопки</w:t>
      </w:r>
      <w:proofErr w:type="gramStart"/>
      <w:r>
        <w:rPr>
          <w:color w:val="auto"/>
        </w:rPr>
        <w:t>.С</w:t>
      </w:r>
      <w:proofErr w:type="gramEnd"/>
      <w:r>
        <w:rPr>
          <w:color w:val="auto"/>
        </w:rPr>
        <w:t>ПОРТ</w:t>
      </w:r>
      <w:proofErr w:type="spellEnd"/>
      <w:r>
        <w:rPr>
          <w:color w:val="auto"/>
        </w:rPr>
        <w:t xml:space="preserve">» в </w:t>
      </w:r>
      <w:proofErr w:type="spellStart"/>
      <w:r>
        <w:rPr>
          <w:color w:val="auto"/>
        </w:rPr>
        <w:t>г.Заполярном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пгт</w:t>
      </w:r>
      <w:proofErr w:type="spellEnd"/>
      <w:r>
        <w:rPr>
          <w:color w:val="auto"/>
        </w:rPr>
        <w:t>. П</w:t>
      </w:r>
      <w:r>
        <w:rPr>
          <w:color w:val="auto"/>
        </w:rPr>
        <w:t xml:space="preserve">еченга, устройством </w:t>
      </w:r>
      <w:proofErr w:type="spellStart"/>
      <w:r>
        <w:rPr>
          <w:color w:val="auto"/>
        </w:rPr>
        <w:t>скейт</w:t>
      </w:r>
      <w:proofErr w:type="spellEnd"/>
      <w:r>
        <w:rPr>
          <w:color w:val="auto"/>
        </w:rPr>
        <w:t xml:space="preserve">-площадки в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</w:t>
      </w:r>
      <w:r>
        <w:rPr>
          <w:color w:val="auto"/>
        </w:rPr>
        <w:lastRenderedPageBreak/>
        <w:t xml:space="preserve">Спутник, футбольного поля в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Спутник и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Корзуново</w:t>
      </w:r>
      <w:proofErr w:type="spellEnd"/>
      <w:r>
        <w:rPr>
          <w:color w:val="auto"/>
        </w:rPr>
        <w:t xml:space="preserve">, ремонтом футбольных полей при школах в </w:t>
      </w:r>
      <w:proofErr w:type="spellStart"/>
      <w:r>
        <w:rPr>
          <w:color w:val="auto"/>
        </w:rPr>
        <w:t>г</w:t>
      </w:r>
      <w:proofErr w:type="gramStart"/>
      <w:r>
        <w:rPr>
          <w:color w:val="auto"/>
        </w:rPr>
        <w:t>.З</w:t>
      </w:r>
      <w:proofErr w:type="gramEnd"/>
      <w:r>
        <w:rPr>
          <w:color w:val="auto"/>
        </w:rPr>
        <w:t>аполярный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пгт</w:t>
      </w:r>
      <w:proofErr w:type="spellEnd"/>
      <w:r>
        <w:rPr>
          <w:color w:val="auto"/>
        </w:rPr>
        <w:t xml:space="preserve">. Никель, устройством освещения лыжни для школьников в </w:t>
      </w:r>
      <w:proofErr w:type="spellStart"/>
      <w:r>
        <w:rPr>
          <w:color w:val="auto"/>
        </w:rPr>
        <w:t>нп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орзуново</w:t>
      </w:r>
      <w:proofErr w:type="spellEnd"/>
      <w:r>
        <w:rPr>
          <w:color w:val="auto"/>
        </w:rPr>
        <w:t>, модернизацией хоккейного корта в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г.Заполярный</w:t>
      </w:r>
      <w:proofErr w:type="spellEnd"/>
      <w:r>
        <w:rPr>
          <w:color w:val="auto"/>
        </w:rPr>
        <w:t xml:space="preserve">, устройством крытого хоккейного корта в </w:t>
      </w:r>
      <w:proofErr w:type="spellStart"/>
      <w:r>
        <w:rPr>
          <w:color w:val="auto"/>
        </w:rPr>
        <w:t>пгт</w:t>
      </w:r>
      <w:proofErr w:type="spellEnd"/>
      <w:r>
        <w:rPr>
          <w:color w:val="auto"/>
        </w:rPr>
        <w:t>. Никель.</w:t>
      </w:r>
    </w:p>
    <w:p w:rsidR="0025767E" w:rsidRDefault="004E32DF">
      <w:pPr>
        <w:pStyle w:val="Default"/>
        <w:ind w:firstLine="709"/>
        <w:jc w:val="both"/>
        <w:rPr>
          <w:color w:val="FF0000"/>
          <w:highlight w:val="yellow"/>
        </w:rPr>
      </w:pPr>
      <w:r>
        <w:rPr>
          <w:color w:val="auto"/>
        </w:rPr>
        <w:t>Общая площадь жилых помещений в 2023 году составила 783,6 тыс.м</w:t>
      </w:r>
      <w:proofErr w:type="gramStart"/>
      <w:r>
        <w:rPr>
          <w:color w:val="auto"/>
          <w:vertAlign w:val="superscript"/>
        </w:rPr>
        <w:t>2</w:t>
      </w:r>
      <w:proofErr w:type="gramEnd"/>
      <w:r>
        <w:rPr>
          <w:color w:val="auto"/>
        </w:rPr>
        <w:t>. Средняя обеспеченность населения площадью жилых квартир в 2023 году по официальной статистической информации составила 26,5</w:t>
      </w:r>
      <w:r>
        <w:rPr>
          <w:color w:val="auto"/>
        </w:rPr>
        <w:t xml:space="preserve"> м</w:t>
      </w:r>
      <w:proofErr w:type="gramStart"/>
      <w:r>
        <w:rPr>
          <w:color w:val="auto"/>
          <w:vertAlign w:val="superscript"/>
        </w:rPr>
        <w:t>2</w:t>
      </w:r>
      <w:proofErr w:type="gramEnd"/>
      <w:r>
        <w:rPr>
          <w:color w:val="auto"/>
        </w:rPr>
        <w:t xml:space="preserve"> на человека (26,1 м</w:t>
      </w:r>
      <w:r>
        <w:rPr>
          <w:color w:val="auto"/>
          <w:vertAlign w:val="superscript"/>
        </w:rPr>
        <w:t xml:space="preserve">2 </w:t>
      </w:r>
      <w:r>
        <w:rPr>
          <w:color w:val="auto"/>
        </w:rPr>
        <w:t>на человека в 2022 году), за счет ввода в эксплуатацию 0,406 тыс. м</w:t>
      </w:r>
      <w:r>
        <w:rPr>
          <w:color w:val="auto"/>
          <w:vertAlign w:val="superscript"/>
        </w:rPr>
        <w:t>2</w:t>
      </w:r>
      <w:r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</w:t>
      </w:r>
      <w:r>
        <w:rPr>
          <w:color w:val="auto"/>
        </w:rPr>
        <w:t xml:space="preserve">счёт собственных и привлечённых средств и введённых в эксплуатацию в установленном порядке).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2024 году ожидается ввод индивидуальных жилых домов общей площадью 1,109 тыс.м</w:t>
      </w:r>
      <w:proofErr w:type="gramStart"/>
      <w:r>
        <w:rPr>
          <w:color w:val="auto"/>
          <w:vertAlign w:val="superscript"/>
        </w:rPr>
        <w:t>2</w:t>
      </w:r>
      <w:proofErr w:type="gramEnd"/>
      <w:r>
        <w:rPr>
          <w:color w:val="auto"/>
        </w:rPr>
        <w:t>. Обеспеченность населения площадью жилых квартир к концу 2024 года составит 27,3</w:t>
      </w:r>
      <w:r>
        <w:rPr>
          <w:color w:val="auto"/>
        </w:rPr>
        <w:t xml:space="preserve"> м</w:t>
      </w:r>
      <w:proofErr w:type="gramStart"/>
      <w:r>
        <w:rPr>
          <w:color w:val="auto"/>
          <w:vertAlign w:val="superscript"/>
        </w:rPr>
        <w:t>2</w:t>
      </w:r>
      <w:proofErr w:type="gramEnd"/>
      <w:r>
        <w:rPr>
          <w:color w:val="auto"/>
        </w:rPr>
        <w:t xml:space="preserve"> на человека.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 конец 2023 года площадь ветхого и аварийного жилья в % к общей площади жилого фонда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составляла 0,6 %. Ожидается, что площадь жилого фонда, признанного ветхим и аварийным в 2024 году после сноса  жилых </w:t>
      </w:r>
      <w:r>
        <w:rPr>
          <w:color w:val="auto"/>
        </w:rPr>
        <w:t xml:space="preserve">домов в </w:t>
      </w:r>
      <w:proofErr w:type="spellStart"/>
      <w:r>
        <w:rPr>
          <w:color w:val="auto"/>
        </w:rPr>
        <w:t>пгт</w:t>
      </w:r>
      <w:proofErr w:type="gramStart"/>
      <w:r>
        <w:rPr>
          <w:color w:val="auto"/>
        </w:rPr>
        <w:t>.Н</w:t>
      </w:r>
      <w:proofErr w:type="gramEnd"/>
      <w:r>
        <w:rPr>
          <w:color w:val="auto"/>
        </w:rPr>
        <w:t>икель</w:t>
      </w:r>
      <w:proofErr w:type="spellEnd"/>
      <w:r>
        <w:rPr>
          <w:color w:val="auto"/>
        </w:rPr>
        <w:t xml:space="preserve">, ул. 14 Армии, </w:t>
      </w:r>
      <w:proofErr w:type="spellStart"/>
      <w:r>
        <w:rPr>
          <w:color w:val="auto"/>
        </w:rPr>
        <w:t>дд</w:t>
      </w:r>
      <w:proofErr w:type="spellEnd"/>
      <w:r>
        <w:rPr>
          <w:color w:val="auto"/>
        </w:rPr>
        <w:t>. 3,5, ул. Советская, д. 17 общей жилой площадью составит 3,18 тыс.м</w:t>
      </w:r>
      <w:r>
        <w:rPr>
          <w:color w:val="auto"/>
          <w:vertAlign w:val="superscript"/>
        </w:rPr>
        <w:t>2</w:t>
      </w:r>
      <w:r>
        <w:rPr>
          <w:color w:val="auto"/>
        </w:rPr>
        <w:t xml:space="preserve"> (признанный аварийным жилой дом в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Приречный</w:t>
      </w:r>
      <w:proofErr w:type="gramEnd"/>
      <w:r>
        <w:rPr>
          <w:color w:val="auto"/>
        </w:rPr>
        <w:t xml:space="preserve">, ул. Горняков, д. 6), что составит 0,4 % к общей площади жилого фонда.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Протяженность автодорог общего пользования местного значения в </w:t>
      </w:r>
      <w:proofErr w:type="spellStart"/>
      <w:r>
        <w:rPr>
          <w:sz w:val="24"/>
          <w:szCs w:val="24"/>
        </w:rPr>
        <w:t>Печенгском</w:t>
      </w:r>
      <w:proofErr w:type="spellEnd"/>
      <w:r>
        <w:rPr>
          <w:sz w:val="24"/>
          <w:szCs w:val="24"/>
        </w:rPr>
        <w:t xml:space="preserve"> муниципальном округе в 2023 году составила 74,7 км. В текущем году протяженность дорог общего пользования увеличилась до 76,4 км.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color w:val="FF0000"/>
          <w:sz w:val="24"/>
          <w:szCs w:val="24"/>
          <w:highlight w:val="yellow"/>
        </w:rPr>
      </w:pPr>
      <w:r>
        <w:rPr>
          <w:color w:val="auto"/>
          <w:sz w:val="24"/>
          <w:szCs w:val="24"/>
        </w:rPr>
        <w:t>Фактический уровень платежей населения за жилье и ко</w:t>
      </w:r>
      <w:r>
        <w:rPr>
          <w:color w:val="auto"/>
          <w:sz w:val="24"/>
          <w:szCs w:val="24"/>
        </w:rPr>
        <w:t xml:space="preserve">ммунальные услуги в 2023 году увеличился по сравнению с 2022 годом с 88,1 % до 90,8 % (по данным, предоставленным администрации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</w:t>
      </w:r>
      <w:proofErr w:type="spellStart"/>
      <w:r>
        <w:rPr>
          <w:color w:val="auto"/>
          <w:sz w:val="24"/>
          <w:szCs w:val="24"/>
        </w:rPr>
        <w:t>ресурсоснабжающими</w:t>
      </w:r>
      <w:proofErr w:type="spellEnd"/>
      <w:r>
        <w:rPr>
          <w:color w:val="auto"/>
          <w:sz w:val="24"/>
          <w:szCs w:val="24"/>
        </w:rPr>
        <w:t xml:space="preserve"> и управляющими компаниями). К концу 2024 года фактический уровень платежей </w:t>
      </w:r>
      <w:r>
        <w:rPr>
          <w:color w:val="auto"/>
          <w:sz w:val="24"/>
          <w:szCs w:val="24"/>
        </w:rPr>
        <w:t>населения за жилье и коммунальные услуги ожидается на уровне 92,0%.</w:t>
      </w: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9. Доходы бюджета</w:t>
      </w:r>
    </w:p>
    <w:p w:rsidR="0025767E" w:rsidRDefault="0025767E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Доходная часть бюджета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 (далее – бюджет округа) за 2023 год исполнена в сумме 3 194 061,4 тыс. рублей (2022 год – 3 373 105,6 тыс. рубле</w:t>
      </w:r>
      <w:r>
        <w:rPr>
          <w:color w:val="auto"/>
        </w:rPr>
        <w:t xml:space="preserve">й), что составляет 98,9 % плановых показателей 3 373 105,6 тыс. рублей.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Поступления налоговых и неналоговых доходов составили 1 138 030,2 тыс. рублей, что составляет 105,9 % от поступлений 2022 года.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Поступление налога на доходы физических лиц в целом в </w:t>
      </w:r>
      <w:r>
        <w:rPr>
          <w:color w:val="auto"/>
        </w:rPr>
        <w:t>бюджет округа в 2023 году составило 763 261,8 тыс. рублей. Относительно 2022 года поступления увеличились на 10,2 %.  Рост поступлений по налогу на доходы физических лиц обусловлен ростом фонда оплаты труда, увеличением поступлений налога на доходы физичес</w:t>
      </w:r>
      <w:r>
        <w:rPr>
          <w:color w:val="auto"/>
        </w:rPr>
        <w:t>ких лиц в части суммы налога, превышающей 650,0 тыс. рублей, относящейся к части налоговой базы, превышающей 5 млн. рублей.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Поступление налога на доходы физических лиц, в отношении которых исчисление и уплата налога осуществляются в соответствии со статьям</w:t>
      </w:r>
      <w:r>
        <w:rPr>
          <w:color w:val="auto"/>
        </w:rPr>
        <w:t xml:space="preserve">и 227, 227.1 и 228 Налогового кодекса Российской Федерации в 2023 году составило 3 282,0 тыс. рублей. </w:t>
      </w:r>
      <w:proofErr w:type="gramStart"/>
      <w:r>
        <w:rPr>
          <w:color w:val="auto"/>
        </w:rPr>
        <w:t>Относительно 2022 года поступления увеличились на 21 %. Рост поступлений налога на доходы физических лиц, зачисляемого в бюджет округа, связан с увеличени</w:t>
      </w:r>
      <w:r>
        <w:rPr>
          <w:color w:val="auto"/>
        </w:rPr>
        <w:t xml:space="preserve">ем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</w:r>
      <w:r>
        <w:rPr>
          <w:color w:val="auto"/>
        </w:rPr>
        <w:lastRenderedPageBreak/>
        <w:t>част</w:t>
      </w:r>
      <w:r>
        <w:rPr>
          <w:color w:val="auto"/>
        </w:rPr>
        <w:t>ной практикой, в соответствии со статьей 227 Налогового кодекса Российской Федерации.</w:t>
      </w:r>
      <w:proofErr w:type="gramEnd"/>
    </w:p>
    <w:p w:rsidR="0025767E" w:rsidRDefault="004E32DF">
      <w:pPr>
        <w:pStyle w:val="Default"/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  <w:r>
        <w:rPr>
          <w:color w:val="auto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161 203,7 тыс. руб</w:t>
      </w:r>
      <w:r>
        <w:rPr>
          <w:color w:val="auto"/>
        </w:rPr>
        <w:t>лей, что составляет 103,3 % от поступлений 2022 года. Увеличение поступлений данного вида доходов связано с погашением арендаторами задолженности за предыдущие периоды.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Налоги на совокупный доход (упрощенная система налогообложения (далее – УСН), патентная</w:t>
      </w:r>
      <w:r>
        <w:rPr>
          <w:color w:val="auto"/>
        </w:rPr>
        <w:t xml:space="preserve"> система) в 2023 году в бюджет округа поступили в сумме 126 179,1 тыс. рублей, что составляет 106,5 % от поступлений в 2022 году. Увеличение поступлений связано с ростом налогооблагаемой базы за счет </w:t>
      </w:r>
      <w:proofErr w:type="gramStart"/>
      <w:r>
        <w:rPr>
          <w:color w:val="auto"/>
        </w:rPr>
        <w:t>интернет-продаж</w:t>
      </w:r>
      <w:proofErr w:type="gramEnd"/>
      <w:r>
        <w:rPr>
          <w:color w:val="auto"/>
        </w:rPr>
        <w:t xml:space="preserve"> на </w:t>
      </w:r>
      <w:proofErr w:type="spellStart"/>
      <w:r>
        <w:rPr>
          <w:color w:val="auto"/>
        </w:rPr>
        <w:t>маркетплейсах</w:t>
      </w:r>
      <w:proofErr w:type="spellEnd"/>
      <w:r>
        <w:rPr>
          <w:color w:val="auto"/>
        </w:rPr>
        <w:t xml:space="preserve">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 итогам 1 полугодия</w:t>
      </w:r>
      <w:r>
        <w:rPr>
          <w:color w:val="auto"/>
        </w:rPr>
        <w:t xml:space="preserve"> 2024 года поступление доходов в бюджет округа составило 1 730 107,5 тыс. рублей, что составляет 47,0 % к плановым показателям на год. Поступления увеличились на 22,4 % к аналогичному периоду 2023 года.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Налоговые и неналоговые доходы за январь-июнь 2024 г</w:t>
      </w:r>
      <w:r>
        <w:rPr>
          <w:color w:val="auto"/>
        </w:rPr>
        <w:t>ода составили 595 816,8 тыс. рублей. Поступления увеличились на 13,8 % к аналогичному периоду 2023 года.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Налог на доходы физических лиц за январь-июнь 2024 года поступил в сумме 331 152,9 тыс. рублей. </w:t>
      </w:r>
      <w:proofErr w:type="gramStart"/>
      <w:r>
        <w:rPr>
          <w:color w:val="auto"/>
        </w:rPr>
        <w:t>Относительно аналогичного периода 2023 года поступления</w:t>
      </w:r>
      <w:r>
        <w:rPr>
          <w:color w:val="auto"/>
        </w:rPr>
        <w:t xml:space="preserve"> увеличились на 4,4 %. Рост поступлений  обусловлен увеличением МРОТ с 01.01.2024 года, повышением заработной платы работникам органов местного самоуправления и муниципальных учреждений, которые не попадают под действие указов Президента Российской Федерац</w:t>
      </w:r>
      <w:r>
        <w:rPr>
          <w:color w:val="auto"/>
        </w:rPr>
        <w:t>ии с 01.10.2023 года и с 01.01.2024 года, а также увеличением оплаты труда работников бюджетной сферы в соответствии с указами Президента Российской Федерации.</w:t>
      </w:r>
      <w:proofErr w:type="gramEnd"/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Налог на доходы физических лиц, в отношении которых исчисление и уплата налога осуществляются в </w:t>
      </w:r>
      <w:r>
        <w:rPr>
          <w:color w:val="auto"/>
        </w:rPr>
        <w:t xml:space="preserve">соответствии со статьями 227, 227.1 и 228 Налогового кодекса Российской Федерации за период январь-июнь 2024 года в бюджет округа поступил в сумме 1 036,5 тыс. рублей. Относительно аналогичного периода 2023 года поступления выросли в 3,86 раза. </w:t>
      </w:r>
      <w:proofErr w:type="gramStart"/>
      <w:r>
        <w:rPr>
          <w:color w:val="auto"/>
        </w:rPr>
        <w:t xml:space="preserve">Увеличение </w:t>
      </w:r>
      <w:r>
        <w:rPr>
          <w:color w:val="auto"/>
        </w:rPr>
        <w:t>поступлений налога на доходы физических лиц связано с ростом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</w:t>
      </w:r>
      <w:r>
        <w:rPr>
          <w:color w:val="auto"/>
        </w:rPr>
        <w:t>вших адвокатские кабинеты, и других лиц, занимающихся частной практикой; с увеличением доходов, полученных физическими лицами, от продажи недвижимого имущества; с увеличением численности иностранных граждан, осуществляющих трудовую деятельность по найму.</w:t>
      </w:r>
      <w:proofErr w:type="gramEnd"/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</w:t>
      </w:r>
      <w:r>
        <w:rPr>
          <w:color w:val="auto"/>
        </w:rPr>
        <w:t>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2024 года составили 113 611,1 тыс. рублей.  Относительно аналогичного периода 2023 года поступле</w:t>
      </w:r>
      <w:r>
        <w:rPr>
          <w:color w:val="auto"/>
        </w:rPr>
        <w:t>ния увеличились на 43,3 %. Причина роста поступлений – оплата дебиторской задолженности за 2023 год крупнейшими должникам</w:t>
      </w:r>
      <w:proofErr w:type="gramStart"/>
      <w:r>
        <w:rPr>
          <w:color w:val="auto"/>
        </w:rPr>
        <w:t>и ООО</w:t>
      </w:r>
      <w:proofErr w:type="gramEnd"/>
      <w:r>
        <w:rPr>
          <w:color w:val="auto"/>
        </w:rPr>
        <w:t xml:space="preserve"> «Русские башни», АО «Первая башенная компания».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Налоги на совокупный доход (УСН, патентная система) за январь-июнь 2024 года поступили в бюджет округа в сумме 109 746,2 тыс. рублей, что на 18,2 % больше, чем в аналогичном периоде 2023 года. Рост поступлений в 2024 году обусловлен поступлением налога, вз</w:t>
      </w:r>
      <w:r>
        <w:rPr>
          <w:color w:val="auto"/>
        </w:rPr>
        <w:t xml:space="preserve">имаемого в связи с применением УСН. Увеличение поступлений связано с  ростом налогооблагаемой базы за счет </w:t>
      </w:r>
      <w:proofErr w:type="gramStart"/>
      <w:r>
        <w:rPr>
          <w:color w:val="auto"/>
        </w:rPr>
        <w:t>интернет-продаж</w:t>
      </w:r>
      <w:proofErr w:type="gramEnd"/>
      <w:r>
        <w:rPr>
          <w:color w:val="auto"/>
        </w:rPr>
        <w:t xml:space="preserve"> на </w:t>
      </w:r>
      <w:proofErr w:type="spellStart"/>
      <w:r>
        <w:rPr>
          <w:color w:val="auto"/>
        </w:rPr>
        <w:t>маркетплейсах</w:t>
      </w:r>
      <w:proofErr w:type="spellEnd"/>
      <w:r>
        <w:rPr>
          <w:color w:val="auto"/>
        </w:rPr>
        <w:t>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 оценке в 2024 году поступление налоговых и неналоговых доходов в бюджет округа ожидается в сумме 1 176 805,5 тыс</w:t>
      </w:r>
      <w:r>
        <w:rPr>
          <w:color w:val="auto"/>
        </w:rPr>
        <w:t xml:space="preserve">. рублей (103,4 % от поступлений 2023 года). </w:t>
      </w:r>
    </w:p>
    <w:p w:rsidR="0025767E" w:rsidRDefault="004E32DF">
      <w:pPr>
        <w:tabs>
          <w:tab w:val="left" w:pos="-3686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Ожидаемое общее поступление налога на доходы физических лиц в 2023 году прогнозируется в сумме 774 047,0 тыс. рублей (101,4 % к поступлению 2023 года). В том числе, поступления налога на доходы физических лиц, </w:t>
      </w:r>
      <w:r>
        <w:rPr>
          <w:color w:val="auto"/>
          <w:sz w:val="24"/>
          <w:szCs w:val="24"/>
        </w:rPr>
        <w:t xml:space="preserve">в отношении которых исчисление и уплата налога осуществляются в соответствии со статьями 227, 227.1 и 228 Налогового </w:t>
      </w:r>
      <w:r>
        <w:rPr>
          <w:color w:val="auto"/>
          <w:sz w:val="24"/>
          <w:szCs w:val="24"/>
        </w:rPr>
        <w:lastRenderedPageBreak/>
        <w:t xml:space="preserve">кодекса Российской Федерации, в 2024 году прогнозируются в сумме 4 004,0 тыс. рублей (122 %  к поступлению 2023 года). </w:t>
      </w:r>
      <w:proofErr w:type="gramStart"/>
      <w:r>
        <w:rPr>
          <w:color w:val="auto"/>
          <w:sz w:val="24"/>
          <w:szCs w:val="24"/>
        </w:rPr>
        <w:t xml:space="preserve">Несмотря увеличение </w:t>
      </w:r>
      <w:r>
        <w:rPr>
          <w:color w:val="auto"/>
          <w:sz w:val="24"/>
          <w:szCs w:val="24"/>
        </w:rPr>
        <w:t>МРОТ с 01.01.2024 года на 18,5%, индексацию заработной платы муниципальной бюджетной сферы, которые не попадают под действие указов Президента Российской Федерации с 01.10.2023 года на 5,5 % и с 01.01.2024 года на 7,9 %, а также увеличением оплаты труда ра</w:t>
      </w:r>
      <w:r>
        <w:rPr>
          <w:color w:val="auto"/>
          <w:sz w:val="24"/>
          <w:szCs w:val="24"/>
        </w:rPr>
        <w:t>ботников бюджетной сферы в соответствии с указами Президента Российской Федерации, рост налога на доходы физических лиц с доходов, источником которых является</w:t>
      </w:r>
      <w:proofErr w:type="gramEnd"/>
      <w:r>
        <w:rPr>
          <w:color w:val="auto"/>
          <w:sz w:val="24"/>
          <w:szCs w:val="24"/>
        </w:rPr>
        <w:t xml:space="preserve"> налоговый агент, ожидается лишь на 1,4%. Причина незначительного прироста  - снижение поступлений</w:t>
      </w:r>
      <w:r>
        <w:rPr>
          <w:color w:val="auto"/>
          <w:sz w:val="24"/>
          <w:szCs w:val="24"/>
        </w:rPr>
        <w:t xml:space="preserve"> налога по ведущим отраслям экономической деятельности: военная безопасность, строительство (ООО «</w:t>
      </w:r>
      <w:proofErr w:type="spellStart"/>
      <w:r>
        <w:rPr>
          <w:color w:val="auto"/>
          <w:sz w:val="24"/>
          <w:szCs w:val="24"/>
        </w:rPr>
        <w:t>Печенгастрой</w:t>
      </w:r>
      <w:proofErr w:type="spellEnd"/>
      <w:r>
        <w:rPr>
          <w:color w:val="auto"/>
          <w:sz w:val="24"/>
          <w:szCs w:val="24"/>
        </w:rPr>
        <w:t>»).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в 2024 го</w:t>
      </w:r>
      <w:r>
        <w:rPr>
          <w:color w:val="auto"/>
        </w:rPr>
        <w:t xml:space="preserve">ду ожидаются в сумме 162 052,5 тыс. рублей (100,5 % от поступлений 2023 года). </w:t>
      </w:r>
    </w:p>
    <w:p w:rsidR="0025767E" w:rsidRDefault="004E32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Поступление налогов на совокупный доход ожидается в сумме 151 857,2 тыс. рублей (120,4 % к поступлению 2023 года), в том числе по налогу, взимаемому в связи с применением УСН, </w:t>
      </w:r>
      <w:r>
        <w:rPr>
          <w:color w:val="auto"/>
        </w:rPr>
        <w:t xml:space="preserve">150 434,8 тыс. рублей (119 % к поступлению 2023 года) – рост налогооблагаемой базы прогнозируется за счет </w:t>
      </w:r>
      <w:proofErr w:type="gramStart"/>
      <w:r>
        <w:rPr>
          <w:color w:val="auto"/>
        </w:rPr>
        <w:t>интернет-продаж</w:t>
      </w:r>
      <w:proofErr w:type="gramEnd"/>
      <w:r>
        <w:rPr>
          <w:color w:val="auto"/>
        </w:rPr>
        <w:t xml:space="preserve"> на </w:t>
      </w:r>
      <w:proofErr w:type="spellStart"/>
      <w:r>
        <w:rPr>
          <w:color w:val="auto"/>
        </w:rPr>
        <w:t>маркетплейсах</w:t>
      </w:r>
      <w:proofErr w:type="spellEnd"/>
      <w:r>
        <w:rPr>
          <w:color w:val="auto"/>
        </w:rPr>
        <w:t>; по налогу, взимаемому в связи с применением патентной системы налогообложения, 1 394,6 тыс. рублей (рост в 3,86 раза</w:t>
      </w:r>
      <w:r>
        <w:rPr>
          <w:color w:val="auto"/>
        </w:rPr>
        <w:t xml:space="preserve"> к поступлению 2023 года) – ро</w:t>
      </w:r>
      <w:proofErr w:type="gramStart"/>
      <w:r>
        <w:rPr>
          <w:color w:val="auto"/>
        </w:rPr>
        <w:t>ст в св</w:t>
      </w:r>
      <w:proofErr w:type="gramEnd"/>
      <w:r>
        <w:rPr>
          <w:color w:val="auto"/>
        </w:rPr>
        <w:t>язи с переносом срока уплаты налога  на 09.01.2024 года согласно п. 7 ст. 6.1 Налогового кодекса РФ.</w:t>
      </w:r>
    </w:p>
    <w:p w:rsidR="0025767E" w:rsidRDefault="004E32D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 w:clear="all"/>
      </w:r>
    </w:p>
    <w:p w:rsidR="0025767E" w:rsidRDefault="004E32DF">
      <w:pPr>
        <w:ind w:left="510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№ 2</w:t>
      </w:r>
    </w:p>
    <w:p w:rsidR="0025767E" w:rsidRDefault="004E32DF">
      <w:pPr>
        <w:ind w:left="510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прогнозу социально-экономического развития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на 2025 год и на плановый период 2026 и 2027 годов</w:t>
      </w:r>
    </w:p>
    <w:p w:rsidR="0025767E" w:rsidRDefault="0025767E">
      <w:pPr>
        <w:jc w:val="right"/>
        <w:rPr>
          <w:rFonts w:eastAsiaTheme="minorHAnsi"/>
          <w:bCs/>
          <w:color w:val="FF0000"/>
          <w:sz w:val="24"/>
          <w:szCs w:val="24"/>
          <w:highlight w:val="yellow"/>
        </w:rPr>
      </w:pPr>
    </w:p>
    <w:p w:rsidR="0025767E" w:rsidRDefault="0025767E">
      <w:pPr>
        <w:jc w:val="center"/>
        <w:rPr>
          <w:rFonts w:eastAsiaTheme="minorHAnsi"/>
          <w:bCs/>
          <w:color w:val="FF0000"/>
          <w:sz w:val="24"/>
          <w:szCs w:val="24"/>
          <w:highlight w:val="yellow"/>
        </w:rPr>
      </w:pPr>
    </w:p>
    <w:p w:rsidR="0025767E" w:rsidRDefault="004E32DF">
      <w:pPr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25767E" w:rsidRDefault="004E32DF">
      <w:pPr>
        <w:jc w:val="center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к прогнозу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</w:t>
      </w:r>
    </w:p>
    <w:p w:rsidR="0025767E" w:rsidRDefault="004E32DF">
      <w:pPr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на 2025 год и на плановый период 2026 и 2027 годов</w:t>
      </w:r>
    </w:p>
    <w:p w:rsidR="0025767E" w:rsidRDefault="0025767E">
      <w:pPr>
        <w:tabs>
          <w:tab w:val="left" w:pos="-3686"/>
        </w:tabs>
        <w:ind w:firstLine="709"/>
        <w:jc w:val="center"/>
        <w:rPr>
          <w:rFonts w:eastAsiaTheme="minorHAnsi"/>
          <w:bCs/>
          <w:color w:val="auto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Прогноз социально-экономич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2025 год и на плановый период 2026 и 2027 годов разработан в двух вариантах: базовом и консервативном, на основе отдельных положений сценарных условий социально-экономического развития Российской Федерац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ии и Мурманской области, а также данных, представленных участниками разработки предварительного прогноза.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При разработке основных параметров прогноза использованы отчетные данные, предоставленные ТОФСГС Мурманской области, материалы организаций и территор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иальных подразделений исполнительных органов государственной власти.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пояснительной записке к прогнозу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2025 год и на плановый период 2026 и 2027 годов представлено описание основных п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араметров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по базовому варианту.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>
        <w:rPr>
          <w:color w:val="auto"/>
          <w:sz w:val="24"/>
          <w:szCs w:val="24"/>
        </w:rPr>
        <w:t>умеренные траектории развития экономики с учетом дальнейшей адаптации экономики к текущей геополитической обстановке.</w:t>
      </w:r>
    </w:p>
    <w:p w:rsidR="0025767E" w:rsidRDefault="0025767E">
      <w:pPr>
        <w:ind w:firstLine="709"/>
        <w:jc w:val="both"/>
        <w:rPr>
          <w:b/>
          <w:bCs/>
          <w:color w:val="FF0000"/>
          <w:sz w:val="24"/>
          <w:szCs w:val="24"/>
        </w:rPr>
      </w:pPr>
    </w:p>
    <w:p w:rsidR="0025767E" w:rsidRDefault="0025767E">
      <w:pPr>
        <w:ind w:firstLine="709"/>
        <w:jc w:val="both"/>
        <w:rPr>
          <w:b/>
          <w:bCs/>
          <w:color w:val="FF0000"/>
          <w:sz w:val="24"/>
          <w:szCs w:val="24"/>
        </w:rPr>
      </w:pPr>
    </w:p>
    <w:p w:rsidR="0025767E" w:rsidRDefault="004E32DF">
      <w:pPr>
        <w:ind w:left="36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1. Демографические показатели</w:t>
      </w:r>
    </w:p>
    <w:p w:rsidR="0025767E" w:rsidRDefault="0025767E">
      <w:pPr>
        <w:ind w:firstLine="709"/>
        <w:jc w:val="both"/>
        <w:rPr>
          <w:rFonts w:eastAsiaTheme="minorHAnsi"/>
          <w:color w:val="auto"/>
          <w:sz w:val="24"/>
          <w:szCs w:val="24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будут находиться под влиянием изменения возрастной структуры населения, миграционной убыли населения. Сокращение численности населения округ</w:t>
      </w:r>
      <w:r>
        <w:rPr>
          <w:rFonts w:eastAsiaTheme="minorHAnsi"/>
          <w:color w:val="auto"/>
          <w:sz w:val="24"/>
          <w:szCs w:val="24"/>
          <w:lang w:eastAsia="en-US"/>
        </w:rPr>
        <w:t>а продолжится.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негативного тренда естественного движения населения будут являться федеральные и региональные меры поддержки семей с детьми, развитие здравоохранения, </w:t>
      </w:r>
      <w:r>
        <w:rPr>
          <w:sz w:val="24"/>
          <w:szCs w:val="24"/>
        </w:rPr>
        <w:t>а также меры, принимаемые в целях улучшения демографической обстан</w:t>
      </w:r>
      <w:r>
        <w:rPr>
          <w:sz w:val="24"/>
          <w:szCs w:val="24"/>
        </w:rPr>
        <w:t xml:space="preserve">овки, в том числе в рамках мероприятий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ожидается сдержанная динамика общей рождаемости – с постепенным увеличением до 9,0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2027 году (8,7 в 2023 г</w:t>
      </w:r>
      <w:r>
        <w:rPr>
          <w:rFonts w:eastAsiaTheme="minorHAnsi"/>
          <w:color w:val="auto"/>
          <w:sz w:val="24"/>
          <w:szCs w:val="24"/>
          <w:lang w:eastAsia="en-US"/>
        </w:rPr>
        <w:t>оду).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 xml:space="preserve">В среднесрочной перспективе ожидается влияние </w:t>
      </w:r>
      <w:r>
        <w:rPr>
          <w:color w:val="auto"/>
          <w:sz w:val="24"/>
          <w:szCs w:val="24"/>
        </w:rPr>
        <w:br/>
        <w:t xml:space="preserve">на уровень рождаемости реализации комплекса мер, принимаемых </w:t>
      </w:r>
      <w:r>
        <w:rPr>
          <w:color w:val="auto"/>
          <w:sz w:val="24"/>
          <w:szCs w:val="24"/>
        </w:rPr>
        <w:br/>
        <w:t>на региональном (адресные выплаты, льготная ипотека и т.д.) и федеральном уровнях (реализация и совершенствование программы материнского (сем</w:t>
      </w:r>
      <w:r>
        <w:rPr>
          <w:color w:val="auto"/>
          <w:sz w:val="24"/>
          <w:szCs w:val="24"/>
        </w:rPr>
        <w:t xml:space="preserve">ейного) капитала).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На улучшение демографической ситуации в округе и развитие человеческого потенциала направлены также муниципальные программы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сфере образования, социальной поддержки, культуры, физической культуры и спор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На увеличение общего индекса рождаемости влияет также сокращение численности </w:t>
      </w:r>
      <w:r>
        <w:rPr>
          <w:rFonts w:eastAsiaTheme="minorHAnsi"/>
          <w:color w:val="auto"/>
          <w:sz w:val="24"/>
          <w:szCs w:val="24"/>
          <w:lang w:eastAsia="en-US"/>
        </w:rPr>
        <w:t>населения округа.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</w:rPr>
        <w:lastRenderedPageBreak/>
        <w:t>Прорабатываемые новации в сфере профилактики заболеваний, популяризации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возрастным груп</w:t>
      </w:r>
      <w:r>
        <w:rPr>
          <w:color w:val="auto"/>
          <w:sz w:val="24"/>
          <w:szCs w:val="24"/>
        </w:rPr>
        <w:t xml:space="preserve">пам. Однако процесс старения населения будет тормозящим фактором положительной динамики. В итоге в 2025 - 2027 годах коэффициент смертности будет постепенно снижаться до 10,1 умерших на 1 000 населения </w:t>
      </w:r>
      <w:r>
        <w:rPr>
          <w:rFonts w:eastAsiaTheme="minorHAnsi"/>
          <w:color w:val="auto"/>
          <w:sz w:val="24"/>
          <w:szCs w:val="24"/>
          <w:lang w:eastAsia="en-US"/>
        </w:rPr>
        <w:t>(12,4 в 2023 году)</w:t>
      </w:r>
      <w:r>
        <w:rPr>
          <w:color w:val="auto"/>
          <w:sz w:val="24"/>
          <w:szCs w:val="24"/>
        </w:rPr>
        <w:t>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естественная убыль </w:t>
      </w:r>
      <w:r>
        <w:rPr>
          <w:rFonts w:eastAsiaTheme="minorHAnsi"/>
          <w:color w:val="auto"/>
          <w:sz w:val="24"/>
          <w:szCs w:val="24"/>
          <w:lang w:eastAsia="en-US"/>
        </w:rPr>
        <w:t>населения в 2025 году составит 1,8 человека на 1 000 населения со снижением к 2027 году до 1,1 человек.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  <w:highlight w:val="yellow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Ожидаемый уровень миграционной убыли населения </w:t>
      </w:r>
      <w:r>
        <w:rPr>
          <w:color w:val="auto"/>
          <w:sz w:val="24"/>
          <w:szCs w:val="24"/>
        </w:rPr>
        <w:t xml:space="preserve">сохранит тенденцию снижения и к концу </w:t>
      </w:r>
      <w:r>
        <w:rPr>
          <w:rFonts w:eastAsiaTheme="minorHAnsi"/>
          <w:color w:val="auto"/>
          <w:sz w:val="24"/>
          <w:szCs w:val="24"/>
          <w:lang w:eastAsia="en-US"/>
        </w:rPr>
        <w:t>2027 года составит -28,0 человек на 1 000 населения (-28,1 в 2023 г</w:t>
      </w:r>
      <w:r>
        <w:rPr>
          <w:rFonts w:eastAsiaTheme="minorHAnsi"/>
          <w:color w:val="auto"/>
          <w:sz w:val="24"/>
          <w:szCs w:val="24"/>
          <w:lang w:eastAsia="en-US"/>
        </w:rPr>
        <w:t>оду).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итоге среднегодовая численность населения в прогнозный период снизится по сравнению с 2023 годом на 3,5 тыс. человек (11,5 %), и составит в 2027 году 26,6 тыс. человек. </w:t>
      </w: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ind w:left="360"/>
        <w:jc w:val="center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2.  Производство товаров и услуг</w:t>
      </w:r>
    </w:p>
    <w:p w:rsidR="0025767E" w:rsidRDefault="0025767E">
      <w:pPr>
        <w:jc w:val="center"/>
        <w:rPr>
          <w:b/>
          <w:color w:val="FF0000"/>
          <w:sz w:val="24"/>
          <w:szCs w:val="24"/>
        </w:rPr>
      </w:pPr>
    </w:p>
    <w:p w:rsidR="0025767E" w:rsidRDefault="004E32DF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2.1. Промышленное производство</w:t>
      </w: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2027 году: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</w:t>
      </w:r>
      <w:r>
        <w:rPr>
          <w:rFonts w:eastAsiaTheme="minorHAnsi"/>
          <w:color w:val="auto"/>
          <w:sz w:val="24"/>
          <w:szCs w:val="24"/>
          <w:lang w:eastAsia="en-US"/>
        </w:rPr>
        <w:t>ого округа составит 52 316,1 млн. рублей (121,1 % к 2023 году);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 объем отгруженных товаров собственного производства, выполненных работ и услуг по виду деятельности «Добыча полезных ископаемых» составит 43 847,3 млн. рублей;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собственного производства, выполненных работ и услуг по виду деятельности «Обрабатывающее производство» составит 4 474,7 млн. рублей;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объем отгруженных товаров собственного производства, выполненных работ и услуг по виду деятельности «Обеспечение электр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ической энергией, газом и паром; кондиционирование воздуха» составит 3 738,3 млн. рублей;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тходов» составит 255,8 млн. рублей. </w:t>
      </w: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объемы промышленного производства существенное влияние будет оказывать степень </w:t>
      </w:r>
      <w:proofErr w:type="spellStart"/>
      <w:r>
        <w:rPr>
          <w:color w:val="auto"/>
          <w:sz w:val="24"/>
          <w:szCs w:val="24"/>
        </w:rPr>
        <w:t>санкционного</w:t>
      </w:r>
      <w:proofErr w:type="spellEnd"/>
      <w:r>
        <w:rPr>
          <w:color w:val="auto"/>
          <w:sz w:val="24"/>
          <w:szCs w:val="24"/>
        </w:rPr>
        <w:t xml:space="preserve"> давления со стороны зарубежных государств, динамика внутреннего спроса на основные виды продукции.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связи с тем, что основн</w:t>
      </w:r>
      <w:r>
        <w:rPr>
          <w:color w:val="auto"/>
          <w:sz w:val="24"/>
          <w:szCs w:val="24"/>
        </w:rPr>
        <w:t xml:space="preserve">ым потребителем </w:t>
      </w:r>
      <w:proofErr w:type="spellStart"/>
      <w:r>
        <w:rPr>
          <w:color w:val="auto"/>
          <w:sz w:val="24"/>
          <w:szCs w:val="24"/>
        </w:rPr>
        <w:t>теплоэнергии</w:t>
      </w:r>
      <w:proofErr w:type="spellEnd"/>
      <w:r>
        <w:rPr>
          <w:color w:val="auto"/>
          <w:sz w:val="24"/>
          <w:szCs w:val="24"/>
        </w:rPr>
        <w:t xml:space="preserve"> и воды является население, численность которого сохраняет устойчивую тенденцию к снижению, а большую часть электроэнергии потребляют предприятия, дальнейшее развитие сферы производства и распределения электроэнергии и воды буде</w:t>
      </w:r>
      <w:r>
        <w:rPr>
          <w:color w:val="auto"/>
          <w:sz w:val="24"/>
          <w:szCs w:val="24"/>
        </w:rPr>
        <w:t xml:space="preserve">т в большей степени зависеть от экономической активности и состояния предприятий, расположенных на территории округа.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снижение численности населения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</w:t>
      </w:r>
      <w:r>
        <w:rPr>
          <w:color w:val="auto"/>
          <w:sz w:val="24"/>
          <w:szCs w:val="24"/>
        </w:rPr>
        <w:t>сн</w:t>
      </w:r>
      <w:r>
        <w:rPr>
          <w:color w:val="auto"/>
          <w:sz w:val="24"/>
          <w:szCs w:val="24"/>
        </w:rPr>
        <w:t>ижением объемов экспортных поставок электроэнергии,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pStyle w:val="ac"/>
        <w:numPr>
          <w:ilvl w:val="0"/>
          <w:numId w:val="24"/>
        </w:numPr>
        <w:jc w:val="center"/>
        <w:rPr>
          <w:rFonts w:eastAsiaTheme="minorHAnsi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Рынок товаров и услуг</w:t>
      </w:r>
    </w:p>
    <w:p w:rsidR="0025767E" w:rsidRDefault="0025767E">
      <w:pPr>
        <w:ind w:left="360"/>
        <w:jc w:val="center"/>
        <w:rPr>
          <w:rFonts w:eastAsiaTheme="minorHAnsi"/>
          <w:b/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 - реализация инвестиционных проектов, предусмотренных программой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округа на 2021-2025 годы, утвержденной распоряжением Губернатора Мурманской области от 29.03.2021 № 74-РГ, а также </w:t>
      </w:r>
      <w:r>
        <w:rPr>
          <w:color w:val="auto"/>
          <w:sz w:val="24"/>
          <w:szCs w:val="24"/>
        </w:rPr>
        <w:t>увеличение денежной массы у населения и позитивные потребительские ожидания на фоне общей стабилизации.</w:t>
      </w:r>
      <w:proofErr w:type="gramEnd"/>
    </w:p>
    <w:p w:rsidR="0025767E" w:rsidRDefault="004E32DF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результате к концу прогнозного пери</w:t>
      </w:r>
      <w:r>
        <w:rPr>
          <w:color w:val="auto"/>
          <w:sz w:val="24"/>
          <w:szCs w:val="24"/>
        </w:rPr>
        <w:t xml:space="preserve">ода индекс физического объема розничной торговли составит 99,2 %, индекс физического объема оборота общественного питания составит 99,8 %, индекс физического объема платных услуг прогнозируется на уровне 98,8%. </w:t>
      </w:r>
    </w:p>
    <w:p w:rsidR="0025767E" w:rsidRDefault="004E32DF">
      <w:pPr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Ожидается, что инфраструктура гостеприимства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к 2027 году будет включать  15 объектов коллективного размещения (гостиницы, отели, хостелы и пр</w:t>
      </w:r>
      <w:r>
        <w:rPr>
          <w:color w:val="auto"/>
          <w:sz w:val="24"/>
          <w:szCs w:val="24"/>
        </w:rPr>
        <w:t>.). Несмотря на увеличивающийся поток туристов, в среднесрочном периоде не прогнозируется значительного роста количества объе</w:t>
      </w:r>
      <w:r>
        <w:rPr>
          <w:color w:val="auto"/>
          <w:sz w:val="24"/>
          <w:szCs w:val="24"/>
        </w:rPr>
        <w:t>ктов коллективного размещения.</w:t>
      </w:r>
    </w:p>
    <w:p w:rsidR="0025767E" w:rsidRDefault="0025767E">
      <w:pPr>
        <w:pStyle w:val="Default"/>
        <w:ind w:firstLine="709"/>
        <w:jc w:val="both"/>
        <w:rPr>
          <w:color w:val="FF0000"/>
          <w:highlight w:val="yellow"/>
        </w:rPr>
      </w:pPr>
    </w:p>
    <w:p w:rsidR="0025767E" w:rsidRDefault="0025767E">
      <w:pPr>
        <w:pStyle w:val="Default"/>
        <w:ind w:firstLine="709"/>
        <w:jc w:val="both"/>
        <w:rPr>
          <w:color w:val="FF0000"/>
          <w:highlight w:val="yellow"/>
        </w:rPr>
      </w:pPr>
    </w:p>
    <w:p w:rsidR="0025767E" w:rsidRDefault="004E32DF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>
        <w:rPr>
          <w:b/>
          <w:color w:val="auto"/>
        </w:rPr>
        <w:t>Малое и среднее предпринимательство</w:t>
      </w:r>
    </w:p>
    <w:p w:rsidR="0025767E" w:rsidRDefault="0025767E">
      <w:pPr>
        <w:pStyle w:val="Default"/>
        <w:ind w:left="360"/>
        <w:jc w:val="center"/>
        <w:rPr>
          <w:b/>
          <w:color w:val="auto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FF0000"/>
          <w:sz w:val="24"/>
          <w:szCs w:val="24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2021-2025 годы, ожидается, что к 2027 году количество субъектов МСП составит 873 единицы (103,9 % к 2023 году), в том числе: малых предприятий (включая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) 155 единиц со среднесписочной численностью работающих 6788 ч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еловек, индивидуальных предпринимателей – 718 единиц. </w:t>
      </w:r>
      <w:proofErr w:type="gramEnd"/>
    </w:p>
    <w:p w:rsidR="0025767E" w:rsidRDefault="004E32DF">
      <w:pPr>
        <w:pStyle w:val="af5"/>
        <w:ind w:firstLine="709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прогнозный период будет продолжена работа по созданию благоприятных условий для развития предпринимательства в рамках разрабатываемой на 2025-2027 годы подпрограммы </w:t>
      </w:r>
      <w:proofErr w:type="spellStart"/>
      <w:r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муниципального округа </w:t>
      </w:r>
      <w:r>
        <w:rPr>
          <w:rFonts w:eastAsiaTheme="minorHAnsi"/>
          <w:sz w:val="24"/>
          <w:szCs w:val="24"/>
          <w:lang w:eastAsia="en-US"/>
        </w:rPr>
        <w:t xml:space="preserve">«Повышение инвестиционной привлекательности </w:t>
      </w:r>
      <w:proofErr w:type="spellStart"/>
      <w:r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МСП, </w:t>
      </w:r>
      <w:r>
        <w:rPr>
          <w:sz w:val="24"/>
          <w:szCs w:val="24"/>
        </w:rPr>
        <w:t>поддержка резидентов АЗ РФ, включающая большо</w:t>
      </w:r>
      <w:r>
        <w:rPr>
          <w:sz w:val="24"/>
          <w:szCs w:val="24"/>
        </w:rPr>
        <w:t>й пакет административных и налоговых преференций, предоставление земельных участков, находящихся в государственной и муниципальной собственности, без торгов, по льготным ставкам аренды и выкупа, разработка и реализация механизмов для привлечения инвестиций</w:t>
      </w:r>
      <w:r>
        <w:rPr>
          <w:sz w:val="24"/>
          <w:szCs w:val="24"/>
        </w:rPr>
        <w:t>. Продолжится работа по организации и проведению конференций, форумов, встреч, семинаров, тренингов для субъектов малого и среднего предпринимательства.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25767E" w:rsidRDefault="004E32DF">
      <w:pPr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отток мо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лодежи, имеющей высокий предпринимательский потенциал; </w:t>
      </w:r>
    </w:p>
    <w:p w:rsidR="0025767E" w:rsidRDefault="004E32DF">
      <w:pPr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>
        <w:rPr>
          <w:color w:val="auto"/>
          <w:sz w:val="24"/>
          <w:szCs w:val="24"/>
        </w:rPr>
        <w:t>недостаток трудовых ресурсов, недостаточный уровень профессиональной подготовки;</w:t>
      </w:r>
    </w:p>
    <w:p w:rsidR="0025767E" w:rsidRDefault="004E32DF">
      <w:pPr>
        <w:pStyle w:val="af5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недостаток собственных оборотных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едприятий;</w:t>
      </w:r>
    </w:p>
    <w:p w:rsidR="0025767E" w:rsidRDefault="004E32DF">
      <w:pPr>
        <w:pStyle w:val="af5"/>
        <w:ind w:firstLine="0"/>
        <w:jc w:val="left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- высокие процентные ставки по кредитам;</w:t>
      </w:r>
    </w:p>
    <w:p w:rsidR="0025767E" w:rsidRDefault="004E32DF">
      <w:pPr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консервация шахты </w:t>
      </w:r>
      <w:r>
        <w:rPr>
          <w:rFonts w:eastAsiaTheme="minorHAnsi"/>
          <w:color w:val="auto"/>
          <w:sz w:val="24"/>
          <w:szCs w:val="24"/>
          <w:lang w:eastAsia="en-US"/>
        </w:rPr>
        <w:t>«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» в рамках реконфигурации горнодобывающих мощностей в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Печенгском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округе;</w:t>
      </w:r>
    </w:p>
    <w:p w:rsidR="0025767E" w:rsidRDefault="004E32DF">
      <w:pPr>
        <w:tabs>
          <w:tab w:val="left" w:pos="142"/>
          <w:tab w:val="left" w:pos="42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25767E" w:rsidRDefault="004E32DF">
      <w:pPr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, аре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нды земли и помещений, отсутствие начального капитала. </w:t>
      </w:r>
    </w:p>
    <w:p w:rsidR="0025767E" w:rsidRDefault="0025767E">
      <w:pPr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pStyle w:val="ac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Инвестиции и строительство</w:t>
      </w:r>
    </w:p>
    <w:p w:rsidR="0025767E" w:rsidRDefault="0025767E">
      <w:pPr>
        <w:ind w:left="360"/>
        <w:jc w:val="center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продолжение строительства о</w:t>
      </w:r>
      <w:r>
        <w:rPr>
          <w:color w:val="auto"/>
          <w:sz w:val="24"/>
          <w:szCs w:val="24"/>
        </w:rPr>
        <w:t>дноагрегатной малой гидроэлектростанции на реке Паз (период реализации 2021 -2026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Пазских</w:t>
      </w:r>
      <w:proofErr w:type="spellEnd"/>
      <w:r>
        <w:rPr>
          <w:color w:val="auto"/>
          <w:sz w:val="24"/>
          <w:szCs w:val="24"/>
        </w:rPr>
        <w:t xml:space="preserve"> ГЭС (период реализации 2024-2027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реализация инвестицио</w:t>
      </w:r>
      <w:r>
        <w:rPr>
          <w:color w:val="auto"/>
          <w:sz w:val="24"/>
          <w:szCs w:val="24"/>
        </w:rPr>
        <w:t xml:space="preserve">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>
        <w:rPr>
          <w:color w:val="auto"/>
          <w:sz w:val="24"/>
          <w:szCs w:val="24"/>
        </w:rPr>
        <w:t>гг</w:t>
      </w:r>
      <w:proofErr w:type="spellEnd"/>
      <w:proofErr w:type="gramEnd"/>
      <w:r>
        <w:rPr>
          <w:color w:val="auto"/>
          <w:sz w:val="24"/>
          <w:szCs w:val="24"/>
        </w:rPr>
        <w:t xml:space="preserve"> АО «</w:t>
      </w:r>
      <w:proofErr w:type="spellStart"/>
      <w:r>
        <w:rPr>
          <w:color w:val="auto"/>
          <w:sz w:val="24"/>
          <w:szCs w:val="24"/>
        </w:rPr>
        <w:t>АтомЭнергоСбыт</w:t>
      </w:r>
      <w:proofErr w:type="spellEnd"/>
      <w:r>
        <w:rPr>
          <w:color w:val="auto"/>
          <w:sz w:val="24"/>
          <w:szCs w:val="24"/>
        </w:rPr>
        <w:t>»;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инвестиционные проекты, реализуемые АО «Кольская ГМК», на территории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(период реализации 2023-2027 гг.) (Вскрытие и отработка запасов руды до гор.-730 м рудника «Северный – Глубокий» - проходка горных выработок, работы по оснащению пройденных горных выработок, а также </w:t>
      </w:r>
      <w:proofErr w:type="spellStart"/>
      <w:r>
        <w:rPr>
          <w:color w:val="auto"/>
          <w:sz w:val="24"/>
          <w:szCs w:val="24"/>
        </w:rPr>
        <w:t>углубка</w:t>
      </w:r>
      <w:proofErr w:type="spellEnd"/>
      <w:r>
        <w:rPr>
          <w:color w:val="auto"/>
          <w:sz w:val="24"/>
          <w:szCs w:val="24"/>
        </w:rPr>
        <w:t xml:space="preserve"> ЦВС; </w:t>
      </w:r>
      <w:proofErr w:type="gramStart"/>
      <w:r>
        <w:rPr>
          <w:color w:val="auto"/>
          <w:sz w:val="24"/>
          <w:szCs w:val="24"/>
        </w:rPr>
        <w:t xml:space="preserve">Вскрытие и отработка </w:t>
      </w:r>
      <w:r>
        <w:rPr>
          <w:color w:val="auto"/>
          <w:sz w:val="24"/>
          <w:szCs w:val="24"/>
        </w:rPr>
        <w:t>запасов руды до гор.-440 м рудника «Северный – Глубокий» - строительство транспортной выработки Восточного участка гор.-440 м, строительство комплекса выработок разгрузки автосамосвалов и погрузочных камер Восточного участка откаточного горизонта -440 м; Р</w:t>
      </w:r>
      <w:r>
        <w:rPr>
          <w:color w:val="auto"/>
          <w:sz w:val="24"/>
          <w:szCs w:val="24"/>
        </w:rPr>
        <w:t>еконструкция станции очистки шахтных вод рудника «Северный»);</w:t>
      </w:r>
      <w:proofErr w:type="gramEnd"/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районе Мурманской области (период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</w:t>
      </w:r>
      <w:r>
        <w:rPr>
          <w:color w:val="auto"/>
          <w:sz w:val="24"/>
          <w:szCs w:val="24"/>
        </w:rPr>
        <w:t xml:space="preserve">ство туристического комплекса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округе (срок реализации 2022-2026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</w:t>
      </w:r>
      <w:r>
        <w:rPr>
          <w:color w:val="auto"/>
          <w:sz w:val="24"/>
          <w:szCs w:val="24"/>
        </w:rPr>
        <w:t xml:space="preserve">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25767E" w:rsidRDefault="004E32DF">
      <w:pPr>
        <w:widowControl w:val="0"/>
        <w:tabs>
          <w:tab w:val="left" w:pos="-7938"/>
          <w:tab w:val="left" w:pos="993"/>
        </w:tabs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(срок реализации 2021-2025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котельных и тепловых сетей в рамках концессионного соглашения (срок реализации 2024-2025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ДК «Окт</w:t>
      </w:r>
      <w:r>
        <w:rPr>
          <w:color w:val="auto"/>
          <w:sz w:val="24"/>
          <w:szCs w:val="24"/>
        </w:rPr>
        <w:t>ябрь» в г. Заполярный (2024-2025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спортивного комплекса «Строитель» в г. Заполярный (2025 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завершение строительства недостроенного дома в г. </w:t>
      </w:r>
      <w:proofErr w:type="gramStart"/>
      <w:r>
        <w:rPr>
          <w:color w:val="auto"/>
          <w:sz w:val="24"/>
          <w:szCs w:val="24"/>
        </w:rPr>
        <w:t>Заполярный</w:t>
      </w:r>
      <w:proofErr w:type="gramEnd"/>
      <w:r>
        <w:rPr>
          <w:color w:val="auto"/>
          <w:sz w:val="24"/>
          <w:szCs w:val="24"/>
        </w:rPr>
        <w:t xml:space="preserve"> по ул. Ленинградская (2024-2025 гг.);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выполнение работ по капитальному ремонту фа</w:t>
      </w:r>
      <w:r>
        <w:rPr>
          <w:color w:val="auto"/>
          <w:sz w:val="24"/>
          <w:szCs w:val="24"/>
        </w:rPr>
        <w:t>сада и входных групп МБОУ СОШ №19;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проектирование, строительство и ввод в эксплуатацию объекта капитального строительства «Детский сад на 350 мест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(срок реализации 2024-2026 гг.) * на сегодняшний день контракт не заключен;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разработка проектн</w:t>
      </w:r>
      <w:r>
        <w:rPr>
          <w:color w:val="auto"/>
          <w:sz w:val="24"/>
          <w:szCs w:val="24"/>
        </w:rPr>
        <w:t xml:space="preserve">ой документации и строительство здания детского сада на 250 мест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 xml:space="preserve"> (срок реализации 2024-2026 гг.) * на сегодняшний день контракт не заключен;</w:t>
      </w:r>
    </w:p>
    <w:p w:rsidR="0025767E" w:rsidRDefault="004E32DF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кластер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</w:t>
      </w:r>
      <w:r>
        <w:rPr>
          <w:color w:val="auto"/>
          <w:sz w:val="24"/>
          <w:szCs w:val="24"/>
        </w:rPr>
        <w:t xml:space="preserve">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(2023-2024 гг.).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основным рискам </w:t>
      </w:r>
      <w:proofErr w:type="spellStart"/>
      <w:r>
        <w:rPr>
          <w:bCs/>
          <w:sz w:val="24"/>
          <w:szCs w:val="24"/>
        </w:rPr>
        <w:t>недостижения</w:t>
      </w:r>
      <w:proofErr w:type="spellEnd"/>
      <w:r>
        <w:rPr>
          <w:bCs/>
          <w:sz w:val="24"/>
          <w:szCs w:val="24"/>
        </w:rPr>
        <w:t xml:space="preserve"> прогнозных значений показателей относятся: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–</w:t>
      </w:r>
      <w:r>
        <w:rPr>
          <w:bCs/>
          <w:sz w:val="24"/>
          <w:szCs w:val="24"/>
        </w:rPr>
        <w:t xml:space="preserve"> отсрочка реализации инвестиционных проектов на территории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муницип</w:t>
      </w:r>
      <w:r>
        <w:rPr>
          <w:bCs/>
          <w:sz w:val="24"/>
          <w:szCs w:val="24"/>
        </w:rPr>
        <w:t>ального округа;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–</w:t>
      </w:r>
      <w:r>
        <w:rPr>
          <w:bCs/>
          <w:sz w:val="24"/>
          <w:szCs w:val="24"/>
        </w:rPr>
        <w:t xml:space="preserve"> сокращение объемов и/или перенос сроков планового финансирования проектов, реализуемых за счет средств федерального и областного бюджетов.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В 2027 году объем инвестиций в основной капитал за счет всех источников финансирования, предположительно, составит 10 662,9 млн. рублей. </w:t>
      </w:r>
      <w:r>
        <w:rPr>
          <w:rFonts w:eastAsiaTheme="minorHAnsi"/>
          <w:color w:val="auto"/>
          <w:sz w:val="24"/>
          <w:szCs w:val="24"/>
          <w:lang w:eastAsia="en-US"/>
        </w:rPr>
        <w:t>Предусматривается расширение инвестиционных возможностей предприятий, как за счет собственных, так и за счет привлеченн</w:t>
      </w:r>
      <w:r>
        <w:rPr>
          <w:rFonts w:eastAsiaTheme="minorHAnsi"/>
          <w:color w:val="auto"/>
          <w:sz w:val="24"/>
          <w:szCs w:val="24"/>
          <w:lang w:eastAsia="en-US"/>
        </w:rPr>
        <w:t>ых средств.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FF0000"/>
          <w:sz w:val="24"/>
          <w:szCs w:val="24"/>
          <w:highlight w:val="yellow"/>
        </w:rPr>
      </w:pPr>
      <w:r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2025 году и плановом периоде 2026- 2027 годов будут преобладать собственные средства организаций.</w:t>
      </w:r>
    </w:p>
    <w:p w:rsidR="0025767E" w:rsidRDefault="004E32DF">
      <w:pPr>
        <w:ind w:left="360"/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6. Сальдированный финансовый результат (прибыль, убыток) деятельности крупных и средних предприятий</w:t>
      </w:r>
    </w:p>
    <w:p w:rsidR="0025767E" w:rsidRDefault="0025767E">
      <w:pPr>
        <w:ind w:left="360"/>
        <w:jc w:val="center"/>
        <w:rPr>
          <w:rFonts w:eastAsiaTheme="minorHAnsi"/>
          <w:b/>
          <w:bCs/>
          <w:color w:val="FF0000"/>
          <w:sz w:val="24"/>
          <w:szCs w:val="24"/>
        </w:rPr>
      </w:pP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В прогнозном периоде ожидается рост сальдированного финансового результата в среднем на 4% ежегодно. В 2027 году прогнозное значение показателя – 3 876,6 млн. рублей.</w:t>
      </w:r>
    </w:p>
    <w:p w:rsidR="0025767E" w:rsidRDefault="0025767E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25767E" w:rsidRDefault="004E32DF">
      <w:pPr>
        <w:ind w:left="360"/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7. Труд и занятость</w:t>
      </w:r>
    </w:p>
    <w:p w:rsidR="0025767E" w:rsidRDefault="0025767E">
      <w:pPr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Рынок труда в прогнозный период будет в значительной степени опреде</w:t>
      </w:r>
      <w:r>
        <w:rPr>
          <w:rFonts w:eastAsiaTheme="minorHAnsi"/>
          <w:color w:val="auto"/>
          <w:sz w:val="24"/>
          <w:szCs w:val="24"/>
          <w:lang w:eastAsia="en-US"/>
        </w:rPr>
        <w:t>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рынке труда, недопущение роста безработицы, реализация мер, направленных на содействие заня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тости населения и снижение напряженности на рынке труда. </w:t>
      </w:r>
    </w:p>
    <w:p w:rsidR="0025767E" w:rsidRDefault="004E32DF">
      <w:pPr>
        <w:pStyle w:val="Default"/>
        <w:ind w:firstLine="709"/>
        <w:jc w:val="both"/>
        <w:rPr>
          <w:color w:val="auto"/>
          <w:highlight w:val="yellow"/>
        </w:rPr>
      </w:pPr>
      <w:r>
        <w:rPr>
          <w:color w:val="auto"/>
        </w:rPr>
        <w:t>В целом численность населения в трудоспособном возрасте в 2027 году ожидается на уровне 16,976 тыс. человек, среднесписочная численность работников организаций (без субъектов малого предпринимательс</w:t>
      </w:r>
      <w:r>
        <w:rPr>
          <w:color w:val="auto"/>
        </w:rPr>
        <w:t xml:space="preserve">тва) – 8,764 тыс. человек.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Ожидается замедление темпов сокращения среднесписочной численности работающих в организациях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снижение числа безработных, зарегистрированных в службе занятости.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2027 году численность официально зарегистрированных безработных в среднем за год составит 102 человека, или 0,6 % к среднегодовой численности населения в трудоспособном возрасте.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округу будет осуществляться за счет реального сектора экономики. В конце прогнозного периода номинальная заработная плата в организациях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(без субъектов малого предпринимательства) ожидается на уровне 132,3 тыс. рублей (+3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8,8% по сравнению с 2023 годом). </w:t>
      </w:r>
    </w:p>
    <w:p w:rsidR="0025767E" w:rsidRDefault="0025767E">
      <w:pPr>
        <w:ind w:firstLine="709"/>
        <w:jc w:val="both"/>
        <w:rPr>
          <w:rFonts w:eastAsiaTheme="minorHAnsi"/>
          <w:color w:val="auto"/>
          <w:sz w:val="24"/>
          <w:szCs w:val="24"/>
        </w:rPr>
      </w:pPr>
    </w:p>
    <w:p w:rsidR="0025767E" w:rsidRDefault="0025767E">
      <w:pP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8. Развитие социальной сферы</w:t>
      </w:r>
    </w:p>
    <w:p w:rsidR="0025767E" w:rsidRDefault="0025767E">
      <w:pPr>
        <w:jc w:val="center"/>
        <w:rPr>
          <w:rFonts w:eastAsiaTheme="minorHAnsi"/>
          <w:color w:val="FF0000"/>
          <w:sz w:val="24"/>
          <w:szCs w:val="24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В прогнозируемом периоде ожидается, что численность детей в ДОУ в 2027 году увеличится по отношению к 2023 году на 7,4 % и составит 2 000 человек. Количество мест, при условии функционирован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ия мест в ДОУ на уровне 2023 года, составит 136,9 мест на 100 детей.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2027 году на уровне 4 042 человек (97,3 % к 2023 году).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lastRenderedPageBreak/>
        <w:t>Прогнозная доля обучающихся в муниципальных общеобразовате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льных организациях, занимающихся в одну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2027 году 94,9%.</w:t>
      </w:r>
    </w:p>
    <w:p w:rsidR="0025767E" w:rsidRDefault="004E32DF">
      <w:pPr>
        <w:ind w:firstLine="709"/>
        <w:jc w:val="both"/>
        <w:rPr>
          <w:rFonts w:eastAsiaTheme="minorHAnsi"/>
          <w:color w:val="FF0000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Численность обучающихся в средних профес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сиональных учебных заведениях в 2027 году составит 175 человек (76,8 % к 2023 году). </w:t>
      </w:r>
      <w:r>
        <w:rPr>
          <w:color w:val="auto"/>
          <w:sz w:val="24"/>
          <w:szCs w:val="24"/>
        </w:rPr>
        <w:t>Уменьшение контингента обучающихся произойдет, в том числе в связи с введением с 01.09.2023 года новых Федеральных государственных образовательных стандартов среднего проф</w:t>
      </w:r>
      <w:r>
        <w:rPr>
          <w:color w:val="auto"/>
          <w:sz w:val="24"/>
          <w:szCs w:val="24"/>
        </w:rPr>
        <w:t>ессионального образования изменятся сроки обучения на базе 9 классов (было 2 года 10 месяцев, станет 1 год 10 месяцев). С 01.09.2024 года ГАПОУ МО «</w:t>
      </w:r>
      <w:proofErr w:type="spellStart"/>
      <w:r>
        <w:rPr>
          <w:color w:val="auto"/>
          <w:sz w:val="24"/>
          <w:szCs w:val="24"/>
        </w:rPr>
        <w:t>Печенгский</w:t>
      </w:r>
      <w:proofErr w:type="spellEnd"/>
      <w:r>
        <w:rPr>
          <w:color w:val="auto"/>
          <w:sz w:val="24"/>
          <w:szCs w:val="24"/>
        </w:rPr>
        <w:t xml:space="preserve"> политехнический техникум» примет участие в качестве сетевой образовательной организации в реализа</w:t>
      </w:r>
      <w:r>
        <w:rPr>
          <w:color w:val="auto"/>
          <w:sz w:val="24"/>
          <w:szCs w:val="24"/>
        </w:rPr>
        <w:t>ции Федерального проекта «</w:t>
      </w:r>
      <w:proofErr w:type="spellStart"/>
      <w:r>
        <w:rPr>
          <w:color w:val="auto"/>
          <w:sz w:val="24"/>
          <w:szCs w:val="24"/>
        </w:rPr>
        <w:t>Профессионалитет</w:t>
      </w:r>
      <w:proofErr w:type="spellEnd"/>
      <w:r>
        <w:rPr>
          <w:color w:val="auto"/>
          <w:sz w:val="24"/>
          <w:szCs w:val="24"/>
        </w:rPr>
        <w:t xml:space="preserve">» в кластере «Кольский горно-металлургический» (специальность «Подземная разработка месторождений полезных ископаемых», будет осуществлен набор на базе 9 классов по профессии «Мастер слесарных работ», «Сварщик»).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виду сокращения численности населения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к 2027г оду ожидается увеличение значений показателей обеспеченности общедоступными библиотеками до 37,5 ед. в расчете на 100 тыс. населения, учреждениями культурно-досугового типа д</w:t>
      </w:r>
      <w:r>
        <w:rPr>
          <w:rFonts w:eastAsiaTheme="minorHAnsi"/>
          <w:color w:val="auto"/>
          <w:sz w:val="24"/>
          <w:szCs w:val="24"/>
          <w:lang w:eastAsia="en-US"/>
        </w:rPr>
        <w:t>о 18,8 учреждений на 100 тыс. населения при условии функционирования имеющейся сети учреждений на уровне 2023 года.</w:t>
      </w:r>
    </w:p>
    <w:p w:rsidR="0025767E" w:rsidRDefault="004E32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Доля населения, систематически занимающегося физической культурой и спортом, в общей численности населения в 2027 году составит 71,6 % (109,1 % к 2023 году). Способствовать этому будут популяризация здорового образа жизни, вовлечение молодежи в занятие 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ртом, а также </w:t>
      </w:r>
      <w:r>
        <w:rPr>
          <w:rFonts w:ascii="Times New Roman" w:hAnsi="Times New Roman" w:cs="Times New Roman"/>
          <w:sz w:val="24"/>
          <w:szCs w:val="24"/>
        </w:rPr>
        <w:t xml:space="preserve">модернизация учреждений спорта, увеличение количества спортивных объектов на территории округа: ФОК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Печенга, горнолыжный спуск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Никель, капитальный ремонт футбольного поля и благоустройство территории в г. Заполярный, создание сп</w:t>
      </w:r>
      <w:r>
        <w:rPr>
          <w:rFonts w:ascii="Times New Roman" w:hAnsi="Times New Roman" w:cs="Times New Roman"/>
          <w:sz w:val="24"/>
          <w:szCs w:val="24"/>
        </w:rPr>
        <w:t xml:space="preserve">ортивного пространства «Сопки. Спорт»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Никель.</w:t>
      </w:r>
    </w:p>
    <w:p w:rsidR="0025767E" w:rsidRDefault="004E32D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прогнозном периоде продолжатся ремонты в учреждениях образования, культуры, физической культуры и спорта. Планируется выполнение работ по ремонту фасада МБОУ СОШ № 19, ремонтных работ по ремонту кабине</w:t>
      </w:r>
      <w:r>
        <w:rPr>
          <w:rFonts w:ascii="Times New Roman" w:hAnsi="Times New Roman" w:cs="Times New Roman"/>
          <w:sz w:val="24"/>
          <w:szCs w:val="24"/>
        </w:rPr>
        <w:t xml:space="preserve">тов «Точка роста» в МБОУ СОШ № 1 и МБОУ ОО № 20, преобразованию пространств образовательных организаций в рамках проекта «Арктическая школа», завершение реконструкции здания ДК «Восход», реконструкция ДК «Октябрь». </w:t>
      </w:r>
    </w:p>
    <w:p w:rsidR="0025767E" w:rsidRDefault="004E32DF">
      <w:pPr>
        <w:pStyle w:val="ConsPlusNormal"/>
        <w:jc w:val="both"/>
        <w:rPr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Ожидается продолжение выполнения меропри</w:t>
      </w:r>
      <w:r>
        <w:rPr>
          <w:rFonts w:ascii="Times New Roman" w:hAnsi="Times New Roman" w:cs="Times New Roman"/>
          <w:sz w:val="24"/>
          <w:szCs w:val="24"/>
        </w:rPr>
        <w:t xml:space="preserve">ятий в сфере благоустройства и городской среды (благоустройство дворовых и общественных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организация архитектурно-художественной подсветки зданий, нанесение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фасады многоквартирных домов, ремонт автомо</w:t>
      </w:r>
      <w:r>
        <w:rPr>
          <w:rFonts w:ascii="Times New Roman" w:hAnsi="Times New Roman" w:cs="Times New Roman"/>
          <w:sz w:val="24"/>
          <w:szCs w:val="24"/>
        </w:rPr>
        <w:t>бильных дорог общего пользования местного значения, устройству наружного освещения и пр.).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увеличится на 3,5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2027 году 30,0 м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color w:val="auto"/>
          <w:sz w:val="24"/>
          <w:szCs w:val="24"/>
          <w:lang w:eastAsia="en-US"/>
        </w:rPr>
        <w:t>. Увеличение средней обеспеченности населе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ния площадью жилых квартир по сравнению с 2023 годом произойдет за счет снижения численности населения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а также индивидуального жилищного строительства и окончания реконструкции многоквартирного жилого дома в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Площадь ветхого и аварийного жилого фонда к концу 2027 году прогнозируется на уровне 3,18 тыс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gramEnd"/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общей площади (</w:t>
      </w:r>
      <w:r>
        <w:rPr>
          <w:color w:val="auto"/>
          <w:sz w:val="24"/>
          <w:szCs w:val="24"/>
        </w:rPr>
        <w:t xml:space="preserve">признанный аварийным жилой дом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gramStart"/>
      <w:r>
        <w:rPr>
          <w:color w:val="auto"/>
          <w:sz w:val="24"/>
          <w:szCs w:val="24"/>
        </w:rPr>
        <w:t>Приречный</w:t>
      </w:r>
      <w:proofErr w:type="gramEnd"/>
      <w:r>
        <w:rPr>
          <w:color w:val="auto"/>
          <w:sz w:val="24"/>
          <w:szCs w:val="24"/>
        </w:rPr>
        <w:t>, ул. Горняков, д. 6), п</w:t>
      </w:r>
      <w:r>
        <w:rPr>
          <w:rFonts w:eastAsiaTheme="minorHAnsi"/>
          <w:color w:val="auto"/>
          <w:sz w:val="24"/>
          <w:szCs w:val="24"/>
          <w:lang w:eastAsia="en-US"/>
        </w:rPr>
        <w:t>рогнозная площадь ветхого и аварийного фонда в общей площади жилого фонда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составит 0,4%.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Ожидается, что протяженность автодорог общего пользования местного значения в </w:t>
      </w:r>
      <w:proofErr w:type="spellStart"/>
      <w:r>
        <w:rPr>
          <w:sz w:val="24"/>
          <w:szCs w:val="24"/>
        </w:rPr>
        <w:t>Печенгском</w:t>
      </w:r>
      <w:proofErr w:type="spellEnd"/>
      <w:r>
        <w:rPr>
          <w:sz w:val="24"/>
          <w:szCs w:val="24"/>
        </w:rPr>
        <w:t xml:space="preserve"> муниципальном округе в  прогнозном периоде останется неизменным. </w:t>
      </w:r>
    </w:p>
    <w:p w:rsidR="0025767E" w:rsidRDefault="004E32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Theme="minorHAnsi"/>
          <w:color w:val="FF0000"/>
          <w:sz w:val="24"/>
          <w:szCs w:val="24"/>
          <w:highlight w:val="yellow"/>
        </w:rPr>
      </w:pPr>
      <w:r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Ожидается, что фактический уровень платежей населения за жилье и коммунальные услуги </w:t>
      </w:r>
      <w:r>
        <w:rPr>
          <w:rFonts w:eastAsiaTheme="minorHAnsi"/>
          <w:color w:val="auto"/>
          <w:sz w:val="24"/>
          <w:szCs w:val="24"/>
          <w:lang w:eastAsia="en-US"/>
        </w:rPr>
        <w:t>в 2027 году составит 93,0 %.</w:t>
      </w:r>
    </w:p>
    <w:p w:rsidR="0025767E" w:rsidRDefault="004E32DF">
      <w:pPr>
        <w:jc w:val="center"/>
        <w:rPr>
          <w:rFonts w:eastAsiaTheme="minorHAnsi"/>
          <w:b/>
          <w:bCs/>
          <w:color w:val="auto"/>
          <w:sz w:val="24"/>
          <w:szCs w:val="24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9.  Доходы бюджета</w:t>
      </w:r>
    </w:p>
    <w:p w:rsidR="0025767E" w:rsidRDefault="0025767E">
      <w:pPr>
        <w:jc w:val="center"/>
        <w:rPr>
          <w:rFonts w:eastAsiaTheme="minorHAnsi"/>
          <w:color w:val="FF0000"/>
          <w:sz w:val="24"/>
          <w:szCs w:val="24"/>
          <w:highlight w:val="yellow"/>
        </w:rPr>
      </w:pP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учтены следующие аспекты: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 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прогнозные поступления администраторов доходов, зачисляемых в бюджет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</w:t>
      </w:r>
    </w:p>
    <w:p w:rsidR="0025767E" w:rsidRDefault="004E32DF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огра</w:t>
      </w:r>
      <w:r>
        <w:rPr>
          <w:rFonts w:eastAsiaTheme="minorHAnsi"/>
          <w:color w:val="auto"/>
          <w:sz w:val="24"/>
          <w:szCs w:val="24"/>
          <w:lang w:eastAsia="en-US"/>
        </w:rPr>
        <w:t>ничениями.</w:t>
      </w:r>
    </w:p>
    <w:p w:rsidR="0025767E" w:rsidRDefault="004E32DF">
      <w:pPr>
        <w:tabs>
          <w:tab w:val="left" w:pos="-3686"/>
        </w:tabs>
        <w:ind w:firstLine="709"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Объем собственных доходов бюджета муниципального образования от налоговых и неналоговых поступлений на 1 жителя в 2027 году ожидается на уровне 43,8 тыс. рублей, что составит 115,9% к показателю 2023 года (37,8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в 2023 году).</w:t>
      </w:r>
    </w:p>
    <w:p w:rsidR="0025767E" w:rsidRDefault="0025767E">
      <w:pPr>
        <w:rPr>
          <w:color w:val="FF0000"/>
        </w:rPr>
      </w:pPr>
    </w:p>
    <w:p w:rsidR="0025767E" w:rsidRDefault="0025767E">
      <w:pPr>
        <w:widowControl w:val="0"/>
        <w:jc w:val="center"/>
        <w:rPr>
          <w:color w:val="auto"/>
          <w:sz w:val="24"/>
          <w:szCs w:val="24"/>
        </w:rPr>
      </w:pPr>
    </w:p>
    <w:p w:rsidR="0025767E" w:rsidRDefault="004E32DF">
      <w:pPr>
        <w:spacing w:after="20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 w:clear="all"/>
      </w:r>
    </w:p>
    <w:p w:rsidR="0025767E" w:rsidRDefault="0025767E">
      <w:pPr>
        <w:jc w:val="both"/>
        <w:rPr>
          <w:color w:val="auto"/>
        </w:rPr>
      </w:pPr>
      <w:bookmarkStart w:id="15" w:name="_GoBack"/>
      <w:bookmarkEnd w:id="15"/>
    </w:p>
    <w:p w:rsidR="0025767E" w:rsidRDefault="0025767E">
      <w:pPr>
        <w:jc w:val="both"/>
        <w:rPr>
          <w:color w:val="auto"/>
        </w:rPr>
      </w:pPr>
    </w:p>
    <w:p w:rsidR="0025767E" w:rsidRDefault="0025767E">
      <w:pPr>
        <w:jc w:val="both"/>
        <w:rPr>
          <w:color w:val="auto"/>
        </w:rPr>
      </w:pPr>
    </w:p>
    <w:p w:rsidR="0025767E" w:rsidRDefault="0025767E">
      <w:pPr>
        <w:jc w:val="both"/>
        <w:rPr>
          <w:color w:val="auto"/>
        </w:rPr>
      </w:pPr>
    </w:p>
    <w:p w:rsidR="0025767E" w:rsidRDefault="0025767E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auto"/>
          <w:sz w:val="24"/>
          <w:szCs w:val="24"/>
        </w:rPr>
      </w:pPr>
    </w:p>
    <w:p w:rsidR="0025767E" w:rsidRDefault="0025767E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auto"/>
          <w:sz w:val="24"/>
          <w:szCs w:val="24"/>
        </w:rPr>
      </w:pPr>
    </w:p>
    <w:sectPr w:rsidR="00257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DF" w:rsidRDefault="004E32DF">
      <w:r>
        <w:separator/>
      </w:r>
    </w:p>
  </w:endnote>
  <w:endnote w:type="continuationSeparator" w:id="0">
    <w:p w:rsidR="004E32DF" w:rsidRDefault="004E32DF">
      <w:r>
        <w:continuationSeparator/>
      </w:r>
    </w:p>
  </w:endnote>
  <w:endnote w:id="1">
    <w:p w:rsidR="0025767E" w:rsidRDefault="0025767E">
      <w:pPr>
        <w:pStyle w:val="af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DF" w:rsidRDefault="004E32DF">
      <w:r>
        <w:separator/>
      </w:r>
    </w:p>
  </w:footnote>
  <w:footnote w:type="continuationSeparator" w:id="0">
    <w:p w:rsidR="004E32DF" w:rsidRDefault="004E32DF">
      <w:r>
        <w:continuationSeparator/>
      </w:r>
    </w:p>
  </w:footnote>
  <w:footnote w:id="1">
    <w:p w:rsidR="0025767E" w:rsidRDefault="0025767E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32B"/>
    <w:multiLevelType w:val="hybridMultilevel"/>
    <w:tmpl w:val="2948F654"/>
    <w:lvl w:ilvl="0" w:tplc="B42EB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AB90A">
      <w:start w:val="1"/>
      <w:numFmt w:val="lowerLetter"/>
      <w:lvlText w:val="%2."/>
      <w:lvlJc w:val="left"/>
      <w:pPr>
        <w:ind w:left="1440" w:hanging="360"/>
      </w:pPr>
    </w:lvl>
    <w:lvl w:ilvl="2" w:tplc="558C731E">
      <w:start w:val="1"/>
      <w:numFmt w:val="lowerRoman"/>
      <w:lvlText w:val="%3."/>
      <w:lvlJc w:val="right"/>
      <w:pPr>
        <w:ind w:left="2160" w:hanging="180"/>
      </w:pPr>
    </w:lvl>
    <w:lvl w:ilvl="3" w:tplc="D1DC80F2">
      <w:start w:val="1"/>
      <w:numFmt w:val="decimal"/>
      <w:lvlText w:val="%4."/>
      <w:lvlJc w:val="left"/>
      <w:pPr>
        <w:ind w:left="2880" w:hanging="360"/>
      </w:pPr>
    </w:lvl>
    <w:lvl w:ilvl="4" w:tplc="3DA42324">
      <w:start w:val="1"/>
      <w:numFmt w:val="lowerLetter"/>
      <w:lvlText w:val="%5."/>
      <w:lvlJc w:val="left"/>
      <w:pPr>
        <w:ind w:left="3600" w:hanging="360"/>
      </w:pPr>
    </w:lvl>
    <w:lvl w:ilvl="5" w:tplc="69BE3C5E">
      <w:start w:val="1"/>
      <w:numFmt w:val="lowerRoman"/>
      <w:lvlText w:val="%6."/>
      <w:lvlJc w:val="right"/>
      <w:pPr>
        <w:ind w:left="4320" w:hanging="180"/>
      </w:pPr>
    </w:lvl>
    <w:lvl w:ilvl="6" w:tplc="382AF178">
      <w:start w:val="1"/>
      <w:numFmt w:val="decimal"/>
      <w:lvlText w:val="%7."/>
      <w:lvlJc w:val="left"/>
      <w:pPr>
        <w:ind w:left="5040" w:hanging="360"/>
      </w:pPr>
    </w:lvl>
    <w:lvl w:ilvl="7" w:tplc="4EE2BC7E">
      <w:start w:val="1"/>
      <w:numFmt w:val="lowerLetter"/>
      <w:lvlText w:val="%8."/>
      <w:lvlJc w:val="left"/>
      <w:pPr>
        <w:ind w:left="5760" w:hanging="360"/>
      </w:pPr>
    </w:lvl>
    <w:lvl w:ilvl="8" w:tplc="B3D6CD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3C6"/>
    <w:multiLevelType w:val="hybridMultilevel"/>
    <w:tmpl w:val="0456D19A"/>
    <w:lvl w:ilvl="0" w:tplc="A86E304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FA344F8A">
      <w:start w:val="1"/>
      <w:numFmt w:val="lowerLetter"/>
      <w:lvlText w:val="%2."/>
      <w:lvlJc w:val="left"/>
      <w:pPr>
        <w:ind w:left="1980" w:hanging="360"/>
      </w:pPr>
    </w:lvl>
    <w:lvl w:ilvl="2" w:tplc="DD2CA4D6">
      <w:start w:val="1"/>
      <w:numFmt w:val="lowerRoman"/>
      <w:lvlText w:val="%3."/>
      <w:lvlJc w:val="right"/>
      <w:pPr>
        <w:ind w:left="2700" w:hanging="180"/>
      </w:pPr>
    </w:lvl>
    <w:lvl w:ilvl="3" w:tplc="1A4A0216">
      <w:start w:val="1"/>
      <w:numFmt w:val="decimal"/>
      <w:lvlText w:val="%4."/>
      <w:lvlJc w:val="left"/>
      <w:pPr>
        <w:ind w:left="3420" w:hanging="360"/>
      </w:pPr>
    </w:lvl>
    <w:lvl w:ilvl="4" w:tplc="4D2E75FA">
      <w:start w:val="1"/>
      <w:numFmt w:val="lowerLetter"/>
      <w:lvlText w:val="%5."/>
      <w:lvlJc w:val="left"/>
      <w:pPr>
        <w:ind w:left="4140" w:hanging="360"/>
      </w:pPr>
    </w:lvl>
    <w:lvl w:ilvl="5" w:tplc="99889E1C">
      <w:start w:val="1"/>
      <w:numFmt w:val="lowerRoman"/>
      <w:lvlText w:val="%6."/>
      <w:lvlJc w:val="right"/>
      <w:pPr>
        <w:ind w:left="4860" w:hanging="180"/>
      </w:pPr>
    </w:lvl>
    <w:lvl w:ilvl="6" w:tplc="1BCA8790">
      <w:start w:val="1"/>
      <w:numFmt w:val="decimal"/>
      <w:lvlText w:val="%7."/>
      <w:lvlJc w:val="left"/>
      <w:pPr>
        <w:ind w:left="5580" w:hanging="360"/>
      </w:pPr>
    </w:lvl>
    <w:lvl w:ilvl="7" w:tplc="084CCF54">
      <w:start w:val="1"/>
      <w:numFmt w:val="lowerLetter"/>
      <w:lvlText w:val="%8."/>
      <w:lvlJc w:val="left"/>
      <w:pPr>
        <w:ind w:left="6300" w:hanging="360"/>
      </w:pPr>
    </w:lvl>
    <w:lvl w:ilvl="8" w:tplc="4936EB2C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9871EC"/>
    <w:multiLevelType w:val="multilevel"/>
    <w:tmpl w:val="61F217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D341AF"/>
    <w:multiLevelType w:val="hybridMultilevel"/>
    <w:tmpl w:val="3A8C89F2"/>
    <w:lvl w:ilvl="0" w:tplc="A80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EB8C2">
      <w:start w:val="1"/>
      <w:numFmt w:val="lowerLetter"/>
      <w:lvlText w:val="%2."/>
      <w:lvlJc w:val="left"/>
      <w:pPr>
        <w:ind w:left="1440" w:hanging="360"/>
      </w:pPr>
    </w:lvl>
    <w:lvl w:ilvl="2" w:tplc="85DA5B04">
      <w:start w:val="1"/>
      <w:numFmt w:val="lowerRoman"/>
      <w:lvlText w:val="%3."/>
      <w:lvlJc w:val="right"/>
      <w:pPr>
        <w:ind w:left="2160" w:hanging="180"/>
      </w:pPr>
    </w:lvl>
    <w:lvl w:ilvl="3" w:tplc="047ECEC0">
      <w:start w:val="1"/>
      <w:numFmt w:val="decimal"/>
      <w:lvlText w:val="%4."/>
      <w:lvlJc w:val="left"/>
      <w:pPr>
        <w:ind w:left="2880" w:hanging="360"/>
      </w:pPr>
    </w:lvl>
    <w:lvl w:ilvl="4" w:tplc="35986C48">
      <w:start w:val="1"/>
      <w:numFmt w:val="lowerLetter"/>
      <w:lvlText w:val="%5."/>
      <w:lvlJc w:val="left"/>
      <w:pPr>
        <w:ind w:left="3600" w:hanging="360"/>
      </w:pPr>
    </w:lvl>
    <w:lvl w:ilvl="5" w:tplc="9D08E768">
      <w:start w:val="1"/>
      <w:numFmt w:val="lowerRoman"/>
      <w:lvlText w:val="%6."/>
      <w:lvlJc w:val="right"/>
      <w:pPr>
        <w:ind w:left="4320" w:hanging="180"/>
      </w:pPr>
    </w:lvl>
    <w:lvl w:ilvl="6" w:tplc="1BFCFCF4">
      <w:start w:val="1"/>
      <w:numFmt w:val="decimal"/>
      <w:lvlText w:val="%7."/>
      <w:lvlJc w:val="left"/>
      <w:pPr>
        <w:ind w:left="5040" w:hanging="360"/>
      </w:pPr>
    </w:lvl>
    <w:lvl w:ilvl="7" w:tplc="B8DA1B46">
      <w:start w:val="1"/>
      <w:numFmt w:val="lowerLetter"/>
      <w:lvlText w:val="%8."/>
      <w:lvlJc w:val="left"/>
      <w:pPr>
        <w:ind w:left="5760" w:hanging="360"/>
      </w:pPr>
    </w:lvl>
    <w:lvl w:ilvl="8" w:tplc="BE069A8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957"/>
    <w:multiLevelType w:val="hybridMultilevel"/>
    <w:tmpl w:val="75B652DE"/>
    <w:lvl w:ilvl="0" w:tplc="9CFAA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B82E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64CD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6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5AC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08E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AEAB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12CC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8E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DAF2149"/>
    <w:multiLevelType w:val="hybridMultilevel"/>
    <w:tmpl w:val="4754BADC"/>
    <w:lvl w:ilvl="0" w:tplc="0840F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F4AD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26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21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E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0B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AF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04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031"/>
    <w:multiLevelType w:val="hybridMultilevel"/>
    <w:tmpl w:val="64C41332"/>
    <w:lvl w:ilvl="0" w:tplc="D98080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3F062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AC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2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5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4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CD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6B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0F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66AC"/>
    <w:multiLevelType w:val="hybridMultilevel"/>
    <w:tmpl w:val="485078E0"/>
    <w:lvl w:ilvl="0" w:tplc="B0E8594C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2D8239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5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EF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E9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7A5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AA1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E0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DAD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B5344"/>
    <w:multiLevelType w:val="hybridMultilevel"/>
    <w:tmpl w:val="375E6EE8"/>
    <w:lvl w:ilvl="0" w:tplc="3C782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55011EC">
      <w:start w:val="1"/>
      <w:numFmt w:val="lowerLetter"/>
      <w:lvlText w:val="%2."/>
      <w:lvlJc w:val="left"/>
      <w:pPr>
        <w:ind w:left="1647" w:hanging="360"/>
      </w:pPr>
    </w:lvl>
    <w:lvl w:ilvl="2" w:tplc="F24CE02C">
      <w:start w:val="1"/>
      <w:numFmt w:val="lowerRoman"/>
      <w:lvlText w:val="%3."/>
      <w:lvlJc w:val="right"/>
      <w:pPr>
        <w:ind w:left="2367" w:hanging="180"/>
      </w:pPr>
    </w:lvl>
    <w:lvl w:ilvl="3" w:tplc="B4D4D63A">
      <w:start w:val="1"/>
      <w:numFmt w:val="decimal"/>
      <w:lvlText w:val="%4."/>
      <w:lvlJc w:val="left"/>
      <w:pPr>
        <w:ind w:left="3087" w:hanging="360"/>
      </w:pPr>
    </w:lvl>
    <w:lvl w:ilvl="4" w:tplc="2702E108">
      <w:start w:val="1"/>
      <w:numFmt w:val="lowerLetter"/>
      <w:lvlText w:val="%5."/>
      <w:lvlJc w:val="left"/>
      <w:pPr>
        <w:ind w:left="3807" w:hanging="360"/>
      </w:pPr>
    </w:lvl>
    <w:lvl w:ilvl="5" w:tplc="87764FA6">
      <w:start w:val="1"/>
      <w:numFmt w:val="lowerRoman"/>
      <w:lvlText w:val="%6."/>
      <w:lvlJc w:val="right"/>
      <w:pPr>
        <w:ind w:left="4527" w:hanging="180"/>
      </w:pPr>
    </w:lvl>
    <w:lvl w:ilvl="6" w:tplc="17B04472">
      <w:start w:val="1"/>
      <w:numFmt w:val="decimal"/>
      <w:lvlText w:val="%7."/>
      <w:lvlJc w:val="left"/>
      <w:pPr>
        <w:ind w:left="5247" w:hanging="360"/>
      </w:pPr>
    </w:lvl>
    <w:lvl w:ilvl="7" w:tplc="1D522CAA">
      <w:start w:val="1"/>
      <w:numFmt w:val="lowerLetter"/>
      <w:lvlText w:val="%8."/>
      <w:lvlJc w:val="left"/>
      <w:pPr>
        <w:ind w:left="5967" w:hanging="360"/>
      </w:pPr>
    </w:lvl>
    <w:lvl w:ilvl="8" w:tplc="F968B6B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C85B20"/>
    <w:multiLevelType w:val="hybridMultilevel"/>
    <w:tmpl w:val="3C42063E"/>
    <w:lvl w:ilvl="0" w:tplc="DD2C5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1E5670">
      <w:start w:val="1"/>
      <w:numFmt w:val="lowerLetter"/>
      <w:lvlText w:val="%2."/>
      <w:lvlJc w:val="left"/>
      <w:pPr>
        <w:ind w:left="1788" w:hanging="360"/>
      </w:pPr>
    </w:lvl>
    <w:lvl w:ilvl="2" w:tplc="9BEC42AE">
      <w:start w:val="1"/>
      <w:numFmt w:val="lowerRoman"/>
      <w:lvlText w:val="%3."/>
      <w:lvlJc w:val="right"/>
      <w:pPr>
        <w:ind w:left="2508" w:hanging="180"/>
      </w:pPr>
    </w:lvl>
    <w:lvl w:ilvl="3" w:tplc="90EE7BD6">
      <w:start w:val="1"/>
      <w:numFmt w:val="decimal"/>
      <w:lvlText w:val="%4."/>
      <w:lvlJc w:val="left"/>
      <w:pPr>
        <w:ind w:left="3228" w:hanging="360"/>
      </w:pPr>
    </w:lvl>
    <w:lvl w:ilvl="4" w:tplc="3C5AA208">
      <w:start w:val="1"/>
      <w:numFmt w:val="lowerLetter"/>
      <w:lvlText w:val="%5."/>
      <w:lvlJc w:val="left"/>
      <w:pPr>
        <w:ind w:left="3948" w:hanging="360"/>
      </w:pPr>
    </w:lvl>
    <w:lvl w:ilvl="5" w:tplc="9A72B30A">
      <w:start w:val="1"/>
      <w:numFmt w:val="lowerRoman"/>
      <w:lvlText w:val="%6."/>
      <w:lvlJc w:val="right"/>
      <w:pPr>
        <w:ind w:left="4668" w:hanging="180"/>
      </w:pPr>
    </w:lvl>
    <w:lvl w:ilvl="6" w:tplc="00344018">
      <w:start w:val="1"/>
      <w:numFmt w:val="decimal"/>
      <w:lvlText w:val="%7."/>
      <w:lvlJc w:val="left"/>
      <w:pPr>
        <w:ind w:left="5388" w:hanging="360"/>
      </w:pPr>
    </w:lvl>
    <w:lvl w:ilvl="7" w:tplc="3502EB4C">
      <w:start w:val="1"/>
      <w:numFmt w:val="lowerLetter"/>
      <w:lvlText w:val="%8."/>
      <w:lvlJc w:val="left"/>
      <w:pPr>
        <w:ind w:left="6108" w:hanging="360"/>
      </w:pPr>
    </w:lvl>
    <w:lvl w:ilvl="8" w:tplc="87DC88C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7947C1"/>
    <w:multiLevelType w:val="hybridMultilevel"/>
    <w:tmpl w:val="EEE45680"/>
    <w:lvl w:ilvl="0" w:tplc="E35490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A66C2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4B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2F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1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0C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D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9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0B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30B17"/>
    <w:multiLevelType w:val="hybridMultilevel"/>
    <w:tmpl w:val="627A4E10"/>
    <w:lvl w:ilvl="0" w:tplc="47EE0B0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3F4479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C0C6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BE52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202B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6435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7E40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4E20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12CB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2643E6"/>
    <w:multiLevelType w:val="hybridMultilevel"/>
    <w:tmpl w:val="1292B01C"/>
    <w:lvl w:ilvl="0" w:tplc="97E0D642">
      <w:start w:val="1"/>
      <w:numFmt w:val="decimal"/>
      <w:lvlText w:val="%1."/>
      <w:lvlJc w:val="left"/>
      <w:pPr>
        <w:ind w:left="1429" w:hanging="360"/>
      </w:pPr>
    </w:lvl>
    <w:lvl w:ilvl="1" w:tplc="37983702">
      <w:start w:val="1"/>
      <w:numFmt w:val="lowerLetter"/>
      <w:lvlText w:val="%2."/>
      <w:lvlJc w:val="left"/>
      <w:pPr>
        <w:ind w:left="2149" w:hanging="360"/>
      </w:pPr>
    </w:lvl>
    <w:lvl w:ilvl="2" w:tplc="CF0EED84">
      <w:start w:val="1"/>
      <w:numFmt w:val="lowerRoman"/>
      <w:lvlText w:val="%3."/>
      <w:lvlJc w:val="right"/>
      <w:pPr>
        <w:ind w:left="2869" w:hanging="180"/>
      </w:pPr>
    </w:lvl>
    <w:lvl w:ilvl="3" w:tplc="95A42768">
      <w:start w:val="1"/>
      <w:numFmt w:val="decimal"/>
      <w:lvlText w:val="%4."/>
      <w:lvlJc w:val="left"/>
      <w:pPr>
        <w:ind w:left="3589" w:hanging="360"/>
      </w:pPr>
    </w:lvl>
    <w:lvl w:ilvl="4" w:tplc="0F685D88">
      <w:start w:val="1"/>
      <w:numFmt w:val="lowerLetter"/>
      <w:lvlText w:val="%5."/>
      <w:lvlJc w:val="left"/>
      <w:pPr>
        <w:ind w:left="4309" w:hanging="360"/>
      </w:pPr>
    </w:lvl>
    <w:lvl w:ilvl="5" w:tplc="B8A87886">
      <w:start w:val="1"/>
      <w:numFmt w:val="lowerRoman"/>
      <w:lvlText w:val="%6."/>
      <w:lvlJc w:val="right"/>
      <w:pPr>
        <w:ind w:left="5029" w:hanging="180"/>
      </w:pPr>
    </w:lvl>
    <w:lvl w:ilvl="6" w:tplc="189C777C">
      <w:start w:val="1"/>
      <w:numFmt w:val="decimal"/>
      <w:lvlText w:val="%7."/>
      <w:lvlJc w:val="left"/>
      <w:pPr>
        <w:ind w:left="5749" w:hanging="360"/>
      </w:pPr>
    </w:lvl>
    <w:lvl w:ilvl="7" w:tplc="634CE58A">
      <w:start w:val="1"/>
      <w:numFmt w:val="lowerLetter"/>
      <w:lvlText w:val="%8."/>
      <w:lvlJc w:val="left"/>
      <w:pPr>
        <w:ind w:left="6469" w:hanging="360"/>
      </w:pPr>
    </w:lvl>
    <w:lvl w:ilvl="8" w:tplc="64D2261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8B3D37"/>
    <w:multiLevelType w:val="hybridMultilevel"/>
    <w:tmpl w:val="42FC3906"/>
    <w:lvl w:ilvl="0" w:tplc="0212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8CFD8">
      <w:start w:val="1"/>
      <w:numFmt w:val="lowerLetter"/>
      <w:lvlText w:val="%2."/>
      <w:lvlJc w:val="left"/>
      <w:pPr>
        <w:ind w:left="1440" w:hanging="360"/>
      </w:pPr>
    </w:lvl>
    <w:lvl w:ilvl="2" w:tplc="454CF520">
      <w:start w:val="1"/>
      <w:numFmt w:val="lowerRoman"/>
      <w:lvlText w:val="%3."/>
      <w:lvlJc w:val="right"/>
      <w:pPr>
        <w:ind w:left="2160" w:hanging="180"/>
      </w:pPr>
    </w:lvl>
    <w:lvl w:ilvl="3" w:tplc="9246F93A">
      <w:start w:val="1"/>
      <w:numFmt w:val="decimal"/>
      <w:lvlText w:val="%4."/>
      <w:lvlJc w:val="left"/>
      <w:pPr>
        <w:ind w:left="2880" w:hanging="360"/>
      </w:pPr>
    </w:lvl>
    <w:lvl w:ilvl="4" w:tplc="F2569574">
      <w:start w:val="1"/>
      <w:numFmt w:val="lowerLetter"/>
      <w:lvlText w:val="%5."/>
      <w:lvlJc w:val="left"/>
      <w:pPr>
        <w:ind w:left="3600" w:hanging="360"/>
      </w:pPr>
    </w:lvl>
    <w:lvl w:ilvl="5" w:tplc="E6EEE33C">
      <w:start w:val="1"/>
      <w:numFmt w:val="lowerRoman"/>
      <w:lvlText w:val="%6."/>
      <w:lvlJc w:val="right"/>
      <w:pPr>
        <w:ind w:left="4320" w:hanging="180"/>
      </w:pPr>
    </w:lvl>
    <w:lvl w:ilvl="6" w:tplc="13D08AF6">
      <w:start w:val="1"/>
      <w:numFmt w:val="decimal"/>
      <w:lvlText w:val="%7."/>
      <w:lvlJc w:val="left"/>
      <w:pPr>
        <w:ind w:left="5040" w:hanging="360"/>
      </w:pPr>
    </w:lvl>
    <w:lvl w:ilvl="7" w:tplc="93E063A0">
      <w:start w:val="1"/>
      <w:numFmt w:val="lowerLetter"/>
      <w:lvlText w:val="%8."/>
      <w:lvlJc w:val="left"/>
      <w:pPr>
        <w:ind w:left="5760" w:hanging="360"/>
      </w:pPr>
    </w:lvl>
    <w:lvl w:ilvl="8" w:tplc="7CC02DA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59BD"/>
    <w:multiLevelType w:val="hybridMultilevel"/>
    <w:tmpl w:val="F392B68E"/>
    <w:lvl w:ilvl="0" w:tplc="E3DE4A0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5DACF2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CC6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4F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96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89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45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0F1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4F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654C2"/>
    <w:multiLevelType w:val="hybridMultilevel"/>
    <w:tmpl w:val="995AB384"/>
    <w:lvl w:ilvl="0" w:tplc="836A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C1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8C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7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57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8E1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2B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4A5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C7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9A0"/>
    <w:multiLevelType w:val="hybridMultilevel"/>
    <w:tmpl w:val="706AF3D0"/>
    <w:lvl w:ilvl="0" w:tplc="FE409E14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F87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000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9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A8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0D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0A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84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9C2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B557E"/>
    <w:multiLevelType w:val="hybridMultilevel"/>
    <w:tmpl w:val="29E6B6EE"/>
    <w:lvl w:ilvl="0" w:tplc="4598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2F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DE25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6B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C3B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A4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4F8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A2C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26E1E"/>
    <w:multiLevelType w:val="hybridMultilevel"/>
    <w:tmpl w:val="72D4B326"/>
    <w:lvl w:ilvl="0" w:tplc="2BAE0F04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5D60960A">
      <w:start w:val="1"/>
      <w:numFmt w:val="lowerLetter"/>
      <w:lvlText w:val="%2."/>
      <w:lvlJc w:val="left"/>
      <w:pPr>
        <w:ind w:left="2149" w:hanging="360"/>
      </w:pPr>
    </w:lvl>
    <w:lvl w:ilvl="2" w:tplc="7E82BC36">
      <w:start w:val="1"/>
      <w:numFmt w:val="lowerRoman"/>
      <w:lvlText w:val="%3."/>
      <w:lvlJc w:val="right"/>
      <w:pPr>
        <w:ind w:left="2869" w:hanging="180"/>
      </w:pPr>
    </w:lvl>
    <w:lvl w:ilvl="3" w:tplc="F4C82FDC">
      <w:start w:val="1"/>
      <w:numFmt w:val="decimal"/>
      <w:lvlText w:val="%4."/>
      <w:lvlJc w:val="left"/>
      <w:pPr>
        <w:ind w:left="3589" w:hanging="360"/>
      </w:pPr>
    </w:lvl>
    <w:lvl w:ilvl="4" w:tplc="761CA4D6">
      <w:start w:val="1"/>
      <w:numFmt w:val="lowerLetter"/>
      <w:lvlText w:val="%5."/>
      <w:lvlJc w:val="left"/>
      <w:pPr>
        <w:ind w:left="4309" w:hanging="360"/>
      </w:pPr>
    </w:lvl>
    <w:lvl w:ilvl="5" w:tplc="4336C868">
      <w:start w:val="1"/>
      <w:numFmt w:val="lowerRoman"/>
      <w:lvlText w:val="%6."/>
      <w:lvlJc w:val="right"/>
      <w:pPr>
        <w:ind w:left="5029" w:hanging="180"/>
      </w:pPr>
    </w:lvl>
    <w:lvl w:ilvl="6" w:tplc="BA26CB42">
      <w:start w:val="1"/>
      <w:numFmt w:val="decimal"/>
      <w:lvlText w:val="%7."/>
      <w:lvlJc w:val="left"/>
      <w:pPr>
        <w:ind w:left="5749" w:hanging="360"/>
      </w:pPr>
    </w:lvl>
    <w:lvl w:ilvl="7" w:tplc="5A061EAC">
      <w:start w:val="1"/>
      <w:numFmt w:val="lowerLetter"/>
      <w:lvlText w:val="%8."/>
      <w:lvlJc w:val="left"/>
      <w:pPr>
        <w:ind w:left="6469" w:hanging="360"/>
      </w:pPr>
    </w:lvl>
    <w:lvl w:ilvl="8" w:tplc="0914845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186C58"/>
    <w:multiLevelType w:val="hybridMultilevel"/>
    <w:tmpl w:val="76A075EC"/>
    <w:lvl w:ilvl="0" w:tplc="586EF36E">
      <w:start w:val="1"/>
      <w:numFmt w:val="decimal"/>
      <w:lvlText w:val="%1."/>
      <w:lvlJc w:val="left"/>
      <w:pPr>
        <w:ind w:left="1429" w:hanging="360"/>
      </w:pPr>
    </w:lvl>
    <w:lvl w:ilvl="1" w:tplc="5AF04604">
      <w:start w:val="1"/>
      <w:numFmt w:val="lowerLetter"/>
      <w:lvlText w:val="%2."/>
      <w:lvlJc w:val="left"/>
      <w:pPr>
        <w:ind w:left="2149" w:hanging="360"/>
      </w:pPr>
    </w:lvl>
    <w:lvl w:ilvl="2" w:tplc="5CD27DE4">
      <w:start w:val="1"/>
      <w:numFmt w:val="lowerRoman"/>
      <w:lvlText w:val="%3."/>
      <w:lvlJc w:val="right"/>
      <w:pPr>
        <w:ind w:left="2869" w:hanging="180"/>
      </w:pPr>
    </w:lvl>
    <w:lvl w:ilvl="3" w:tplc="1BBA1DEE">
      <w:start w:val="1"/>
      <w:numFmt w:val="decimal"/>
      <w:lvlText w:val="%4."/>
      <w:lvlJc w:val="left"/>
      <w:pPr>
        <w:ind w:left="3589" w:hanging="360"/>
      </w:pPr>
    </w:lvl>
    <w:lvl w:ilvl="4" w:tplc="B87CF138">
      <w:start w:val="1"/>
      <w:numFmt w:val="lowerLetter"/>
      <w:lvlText w:val="%5."/>
      <w:lvlJc w:val="left"/>
      <w:pPr>
        <w:ind w:left="4309" w:hanging="360"/>
      </w:pPr>
    </w:lvl>
    <w:lvl w:ilvl="5" w:tplc="98BE2F76">
      <w:start w:val="1"/>
      <w:numFmt w:val="lowerRoman"/>
      <w:lvlText w:val="%6."/>
      <w:lvlJc w:val="right"/>
      <w:pPr>
        <w:ind w:left="5029" w:hanging="180"/>
      </w:pPr>
    </w:lvl>
    <w:lvl w:ilvl="6" w:tplc="42E22FBA">
      <w:start w:val="1"/>
      <w:numFmt w:val="decimal"/>
      <w:lvlText w:val="%7."/>
      <w:lvlJc w:val="left"/>
      <w:pPr>
        <w:ind w:left="5749" w:hanging="360"/>
      </w:pPr>
    </w:lvl>
    <w:lvl w:ilvl="7" w:tplc="487AEB92">
      <w:start w:val="1"/>
      <w:numFmt w:val="lowerLetter"/>
      <w:lvlText w:val="%8."/>
      <w:lvlJc w:val="left"/>
      <w:pPr>
        <w:ind w:left="6469" w:hanging="360"/>
      </w:pPr>
    </w:lvl>
    <w:lvl w:ilvl="8" w:tplc="E1F2A2A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5111AC"/>
    <w:multiLevelType w:val="multilevel"/>
    <w:tmpl w:val="88F0E93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F4F0420"/>
    <w:multiLevelType w:val="hybridMultilevel"/>
    <w:tmpl w:val="EE421902"/>
    <w:lvl w:ilvl="0" w:tplc="DB88A892">
      <w:start w:val="1"/>
      <w:numFmt w:val="decimal"/>
      <w:lvlText w:val="%1."/>
      <w:lvlJc w:val="left"/>
      <w:pPr>
        <w:ind w:left="1260" w:hanging="360"/>
      </w:pPr>
    </w:lvl>
    <w:lvl w:ilvl="1" w:tplc="7C16C9BC">
      <w:start w:val="1"/>
      <w:numFmt w:val="lowerLetter"/>
      <w:lvlText w:val="%2."/>
      <w:lvlJc w:val="left"/>
      <w:pPr>
        <w:ind w:left="1980" w:hanging="360"/>
      </w:pPr>
    </w:lvl>
    <w:lvl w:ilvl="2" w:tplc="E2824F4A">
      <w:start w:val="1"/>
      <w:numFmt w:val="lowerRoman"/>
      <w:lvlText w:val="%3."/>
      <w:lvlJc w:val="right"/>
      <w:pPr>
        <w:ind w:left="2700" w:hanging="180"/>
      </w:pPr>
    </w:lvl>
    <w:lvl w:ilvl="3" w:tplc="32A08552">
      <w:start w:val="1"/>
      <w:numFmt w:val="decimal"/>
      <w:lvlText w:val="%4."/>
      <w:lvlJc w:val="left"/>
      <w:pPr>
        <w:ind w:left="3420" w:hanging="360"/>
      </w:pPr>
    </w:lvl>
    <w:lvl w:ilvl="4" w:tplc="09CC2968">
      <w:start w:val="1"/>
      <w:numFmt w:val="lowerLetter"/>
      <w:lvlText w:val="%5."/>
      <w:lvlJc w:val="left"/>
      <w:pPr>
        <w:ind w:left="4140" w:hanging="360"/>
      </w:pPr>
    </w:lvl>
    <w:lvl w:ilvl="5" w:tplc="DD463F70">
      <w:start w:val="1"/>
      <w:numFmt w:val="lowerRoman"/>
      <w:lvlText w:val="%6."/>
      <w:lvlJc w:val="right"/>
      <w:pPr>
        <w:ind w:left="4860" w:hanging="180"/>
      </w:pPr>
    </w:lvl>
    <w:lvl w:ilvl="6" w:tplc="0854D6F2">
      <w:start w:val="1"/>
      <w:numFmt w:val="decimal"/>
      <w:lvlText w:val="%7."/>
      <w:lvlJc w:val="left"/>
      <w:pPr>
        <w:ind w:left="5580" w:hanging="360"/>
      </w:pPr>
    </w:lvl>
    <w:lvl w:ilvl="7" w:tplc="AB849908">
      <w:start w:val="1"/>
      <w:numFmt w:val="lowerLetter"/>
      <w:lvlText w:val="%8."/>
      <w:lvlJc w:val="left"/>
      <w:pPr>
        <w:ind w:left="6300" w:hanging="360"/>
      </w:pPr>
    </w:lvl>
    <w:lvl w:ilvl="8" w:tplc="6DF82170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BA6BFC"/>
    <w:multiLevelType w:val="hybridMultilevel"/>
    <w:tmpl w:val="D3C02568"/>
    <w:lvl w:ilvl="0" w:tplc="64B87204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8446E6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CA2D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24DE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7816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4416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F0FD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1618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DABF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3F1340"/>
    <w:multiLevelType w:val="hybridMultilevel"/>
    <w:tmpl w:val="6BA0320C"/>
    <w:lvl w:ilvl="0" w:tplc="55DC7266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28B04FC4">
      <w:start w:val="1"/>
      <w:numFmt w:val="lowerLetter"/>
      <w:lvlText w:val="%2."/>
      <w:lvlJc w:val="left"/>
      <w:pPr>
        <w:ind w:left="1137" w:hanging="360"/>
      </w:pPr>
    </w:lvl>
    <w:lvl w:ilvl="2" w:tplc="9134F216">
      <w:start w:val="1"/>
      <w:numFmt w:val="lowerRoman"/>
      <w:lvlText w:val="%3."/>
      <w:lvlJc w:val="right"/>
      <w:pPr>
        <w:ind w:left="1857" w:hanging="180"/>
      </w:pPr>
    </w:lvl>
    <w:lvl w:ilvl="3" w:tplc="F79CB75A">
      <w:start w:val="1"/>
      <w:numFmt w:val="decimal"/>
      <w:lvlText w:val="%4."/>
      <w:lvlJc w:val="left"/>
      <w:pPr>
        <w:ind w:left="2577" w:hanging="360"/>
      </w:pPr>
    </w:lvl>
    <w:lvl w:ilvl="4" w:tplc="8DF8FD94">
      <w:start w:val="1"/>
      <w:numFmt w:val="lowerLetter"/>
      <w:lvlText w:val="%5."/>
      <w:lvlJc w:val="left"/>
      <w:pPr>
        <w:ind w:left="3297" w:hanging="360"/>
      </w:pPr>
    </w:lvl>
    <w:lvl w:ilvl="5" w:tplc="A16E6A44">
      <w:start w:val="1"/>
      <w:numFmt w:val="lowerRoman"/>
      <w:lvlText w:val="%6."/>
      <w:lvlJc w:val="right"/>
      <w:pPr>
        <w:ind w:left="4017" w:hanging="180"/>
      </w:pPr>
    </w:lvl>
    <w:lvl w:ilvl="6" w:tplc="1772F102">
      <w:start w:val="1"/>
      <w:numFmt w:val="decimal"/>
      <w:lvlText w:val="%7."/>
      <w:lvlJc w:val="left"/>
      <w:pPr>
        <w:ind w:left="4737" w:hanging="360"/>
      </w:pPr>
    </w:lvl>
    <w:lvl w:ilvl="7" w:tplc="78EEA922">
      <w:start w:val="1"/>
      <w:numFmt w:val="lowerLetter"/>
      <w:lvlText w:val="%8."/>
      <w:lvlJc w:val="left"/>
      <w:pPr>
        <w:ind w:left="5457" w:hanging="360"/>
      </w:pPr>
    </w:lvl>
    <w:lvl w:ilvl="8" w:tplc="0652E654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7A264AD"/>
    <w:multiLevelType w:val="hybridMultilevel"/>
    <w:tmpl w:val="FA7AE41A"/>
    <w:lvl w:ilvl="0" w:tplc="6FB6FE6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B2DC23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04916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ED6D42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C6F3A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6EED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D6E668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4AA2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66815E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B0C42DE"/>
    <w:multiLevelType w:val="hybridMultilevel"/>
    <w:tmpl w:val="F04058C2"/>
    <w:lvl w:ilvl="0" w:tplc="7C58AB82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19B6B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E01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48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EC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DCE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459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CD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94D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9F50ED"/>
    <w:multiLevelType w:val="hybridMultilevel"/>
    <w:tmpl w:val="C5EEC87C"/>
    <w:lvl w:ilvl="0" w:tplc="D924E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B89890">
      <w:start w:val="1"/>
      <w:numFmt w:val="lowerLetter"/>
      <w:lvlText w:val="%2."/>
      <w:lvlJc w:val="left"/>
      <w:pPr>
        <w:ind w:left="1800" w:hanging="360"/>
      </w:pPr>
    </w:lvl>
    <w:lvl w:ilvl="2" w:tplc="3C307DDE">
      <w:start w:val="1"/>
      <w:numFmt w:val="lowerRoman"/>
      <w:lvlText w:val="%3."/>
      <w:lvlJc w:val="right"/>
      <w:pPr>
        <w:ind w:left="2520" w:hanging="180"/>
      </w:pPr>
    </w:lvl>
    <w:lvl w:ilvl="3" w:tplc="23748D68">
      <w:start w:val="1"/>
      <w:numFmt w:val="decimal"/>
      <w:lvlText w:val="%4."/>
      <w:lvlJc w:val="left"/>
      <w:pPr>
        <w:ind w:left="3240" w:hanging="360"/>
      </w:pPr>
    </w:lvl>
    <w:lvl w:ilvl="4" w:tplc="4410988C">
      <w:start w:val="1"/>
      <w:numFmt w:val="lowerLetter"/>
      <w:lvlText w:val="%5."/>
      <w:lvlJc w:val="left"/>
      <w:pPr>
        <w:ind w:left="3960" w:hanging="360"/>
      </w:pPr>
    </w:lvl>
    <w:lvl w:ilvl="5" w:tplc="B41E9342">
      <w:start w:val="1"/>
      <w:numFmt w:val="lowerRoman"/>
      <w:lvlText w:val="%6."/>
      <w:lvlJc w:val="right"/>
      <w:pPr>
        <w:ind w:left="4680" w:hanging="180"/>
      </w:pPr>
    </w:lvl>
    <w:lvl w:ilvl="6" w:tplc="B3E86A62">
      <w:start w:val="1"/>
      <w:numFmt w:val="decimal"/>
      <w:lvlText w:val="%7."/>
      <w:lvlJc w:val="left"/>
      <w:pPr>
        <w:ind w:left="5400" w:hanging="360"/>
      </w:pPr>
    </w:lvl>
    <w:lvl w:ilvl="7" w:tplc="91EA439A">
      <w:start w:val="1"/>
      <w:numFmt w:val="lowerLetter"/>
      <w:lvlText w:val="%8."/>
      <w:lvlJc w:val="left"/>
      <w:pPr>
        <w:ind w:left="6120" w:hanging="360"/>
      </w:pPr>
    </w:lvl>
    <w:lvl w:ilvl="8" w:tplc="D2AC92D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00312"/>
    <w:multiLevelType w:val="hybridMultilevel"/>
    <w:tmpl w:val="E73A51DA"/>
    <w:lvl w:ilvl="0" w:tplc="7974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7F247F2">
      <w:start w:val="1"/>
      <w:numFmt w:val="lowerLetter"/>
      <w:lvlText w:val="%2."/>
      <w:lvlJc w:val="left"/>
      <w:pPr>
        <w:ind w:left="1440" w:hanging="360"/>
      </w:pPr>
    </w:lvl>
    <w:lvl w:ilvl="2" w:tplc="5AAE3D70">
      <w:start w:val="1"/>
      <w:numFmt w:val="lowerRoman"/>
      <w:lvlText w:val="%3."/>
      <w:lvlJc w:val="right"/>
      <w:pPr>
        <w:ind w:left="2160" w:hanging="180"/>
      </w:pPr>
    </w:lvl>
    <w:lvl w:ilvl="3" w:tplc="79820266">
      <w:start w:val="1"/>
      <w:numFmt w:val="decimal"/>
      <w:lvlText w:val="%4."/>
      <w:lvlJc w:val="left"/>
      <w:pPr>
        <w:ind w:left="2880" w:hanging="360"/>
      </w:pPr>
    </w:lvl>
    <w:lvl w:ilvl="4" w:tplc="5FF240F0">
      <w:start w:val="1"/>
      <w:numFmt w:val="lowerLetter"/>
      <w:lvlText w:val="%5."/>
      <w:lvlJc w:val="left"/>
      <w:pPr>
        <w:ind w:left="3600" w:hanging="360"/>
      </w:pPr>
    </w:lvl>
    <w:lvl w:ilvl="5" w:tplc="C4FA5E1C">
      <w:start w:val="1"/>
      <w:numFmt w:val="lowerRoman"/>
      <w:lvlText w:val="%6."/>
      <w:lvlJc w:val="right"/>
      <w:pPr>
        <w:ind w:left="4320" w:hanging="180"/>
      </w:pPr>
    </w:lvl>
    <w:lvl w:ilvl="6" w:tplc="D44AB0FC">
      <w:start w:val="1"/>
      <w:numFmt w:val="decimal"/>
      <w:lvlText w:val="%7."/>
      <w:lvlJc w:val="left"/>
      <w:pPr>
        <w:ind w:left="5040" w:hanging="360"/>
      </w:pPr>
    </w:lvl>
    <w:lvl w:ilvl="7" w:tplc="59847E76">
      <w:start w:val="1"/>
      <w:numFmt w:val="lowerLetter"/>
      <w:lvlText w:val="%8."/>
      <w:lvlJc w:val="left"/>
      <w:pPr>
        <w:ind w:left="5760" w:hanging="360"/>
      </w:pPr>
    </w:lvl>
    <w:lvl w:ilvl="8" w:tplc="09AC49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21"/>
  </w:num>
  <w:num w:numId="5">
    <w:abstractNumId w:val="20"/>
  </w:num>
  <w:num w:numId="6">
    <w:abstractNumId w:val="2"/>
  </w:num>
  <w:num w:numId="7">
    <w:abstractNumId w:val="12"/>
  </w:num>
  <w:num w:numId="8">
    <w:abstractNumId w:val="19"/>
  </w:num>
  <w:num w:numId="9">
    <w:abstractNumId w:val="26"/>
  </w:num>
  <w:num w:numId="10">
    <w:abstractNumId w:val="8"/>
  </w:num>
  <w:num w:numId="11">
    <w:abstractNumId w:val="4"/>
  </w:num>
  <w:num w:numId="12">
    <w:abstractNumId w:val="7"/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25"/>
  </w:num>
  <w:num w:numId="18">
    <w:abstractNumId w:val="24"/>
  </w:num>
  <w:num w:numId="19">
    <w:abstractNumId w:val="23"/>
  </w:num>
  <w:num w:numId="20">
    <w:abstractNumId w:val="10"/>
  </w:num>
  <w:num w:numId="21">
    <w:abstractNumId w:val="11"/>
  </w:num>
  <w:num w:numId="22">
    <w:abstractNumId w:val="6"/>
  </w:num>
  <w:num w:numId="23">
    <w:abstractNumId w:val="0"/>
  </w:num>
  <w:num w:numId="24">
    <w:abstractNumId w:val="3"/>
  </w:num>
  <w:num w:numId="25">
    <w:abstractNumId w:val="9"/>
  </w:num>
  <w:num w:numId="26">
    <w:abstractNumId w:val="18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7E"/>
    <w:rsid w:val="0025767E"/>
    <w:rsid w:val="002B3C53"/>
    <w:rsid w:val="004E32DF"/>
    <w:rsid w:val="007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360" w:after="240"/>
      <w:ind w:firstLine="709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color w:val="auto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pPr>
      <w:widowControl w:val="0"/>
      <w:spacing w:after="120"/>
    </w:pPr>
    <w:rPr>
      <w:color w:val="auto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pPr>
      <w:numPr>
        <w:numId w:val="12"/>
      </w:numPr>
    </w:pPr>
    <w:rPr>
      <w:color w:val="auto"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pPr>
      <w:ind w:firstLine="600"/>
      <w:jc w:val="both"/>
    </w:pPr>
    <w:rPr>
      <w:color w:val="auto"/>
      <w:sz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color w:val="auto"/>
      <w:sz w:val="28"/>
    </w:r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</w:style>
  <w:style w:type="paragraph" w:styleId="afa">
    <w:name w:val="endnote text"/>
    <w:basedOn w:val="a"/>
    <w:link w:val="afb"/>
    <w:rPr>
      <w:color w:val="auto"/>
    </w:rPr>
  </w:style>
  <w:style w:type="character" w:customStyle="1" w:styleId="afb">
    <w:name w:val="Текст концевой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Pr>
      <w:vertAlign w:val="superscript"/>
    </w:rPr>
  </w:style>
  <w:style w:type="paragraph" w:styleId="afd">
    <w:name w:val="Subtitle"/>
    <w:basedOn w:val="a"/>
    <w:link w:val="afe"/>
    <w:qFormat/>
    <w:pPr>
      <w:jc w:val="center"/>
    </w:pPr>
    <w:rPr>
      <w:b/>
      <w:bCs/>
      <w:color w:val="auto"/>
      <w:sz w:val="32"/>
    </w:rPr>
  </w:style>
  <w:style w:type="character" w:customStyle="1" w:styleId="afe">
    <w:name w:val="Подзаголовок Знак"/>
    <w:basedOn w:val="a0"/>
    <w:link w:val="a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Гиперссылка1"/>
    <w:basedOn w:val="a0"/>
  </w:style>
  <w:style w:type="paragraph" w:styleId="aff">
    <w:name w:val="footnote text"/>
    <w:basedOn w:val="a"/>
    <w:link w:val="aff0"/>
    <w:uiPriority w:val="99"/>
    <w:unhideWhenUsed/>
    <w:rPr>
      <w:color w:val="auto"/>
      <w14:ligatures w14:val="standardContextual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f1">
    <w:name w:val="footnote reference"/>
    <w:uiPriority w:val="99"/>
    <w:unhideWhenUsed/>
    <w:rPr>
      <w:vertAlign w:val="superscript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360" w:after="240"/>
      <w:ind w:firstLine="709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color w:val="auto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pPr>
      <w:widowControl w:val="0"/>
      <w:spacing w:after="120"/>
    </w:pPr>
    <w:rPr>
      <w:color w:val="auto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pPr>
      <w:numPr>
        <w:numId w:val="12"/>
      </w:numPr>
    </w:pPr>
    <w:rPr>
      <w:color w:val="auto"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pPr>
      <w:ind w:firstLine="600"/>
      <w:jc w:val="both"/>
    </w:pPr>
    <w:rPr>
      <w:color w:val="auto"/>
      <w:sz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color w:val="auto"/>
      <w:sz w:val="28"/>
    </w:r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</w:style>
  <w:style w:type="paragraph" w:styleId="afa">
    <w:name w:val="endnote text"/>
    <w:basedOn w:val="a"/>
    <w:link w:val="afb"/>
    <w:rPr>
      <w:color w:val="auto"/>
    </w:rPr>
  </w:style>
  <w:style w:type="character" w:customStyle="1" w:styleId="afb">
    <w:name w:val="Текст концевой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Pr>
      <w:vertAlign w:val="superscript"/>
    </w:rPr>
  </w:style>
  <w:style w:type="paragraph" w:styleId="afd">
    <w:name w:val="Subtitle"/>
    <w:basedOn w:val="a"/>
    <w:link w:val="afe"/>
    <w:qFormat/>
    <w:pPr>
      <w:jc w:val="center"/>
    </w:pPr>
    <w:rPr>
      <w:b/>
      <w:bCs/>
      <w:color w:val="auto"/>
      <w:sz w:val="32"/>
    </w:rPr>
  </w:style>
  <w:style w:type="character" w:customStyle="1" w:styleId="afe">
    <w:name w:val="Подзаголовок Знак"/>
    <w:basedOn w:val="a0"/>
    <w:link w:val="a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Гиперссылка1"/>
    <w:basedOn w:val="a0"/>
  </w:style>
  <w:style w:type="paragraph" w:styleId="aff">
    <w:name w:val="footnote text"/>
    <w:basedOn w:val="a"/>
    <w:link w:val="aff0"/>
    <w:uiPriority w:val="99"/>
    <w:unhideWhenUsed/>
    <w:rPr>
      <w:color w:val="auto"/>
      <w14:ligatures w14:val="standardContextual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f1">
    <w:name w:val="footnote reference"/>
    <w:uiPriority w:val="99"/>
    <w:unhideWhenUsed/>
    <w:rPr>
      <w:vertAlign w:val="superscript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4BA9-EF8C-4842-B0B4-B10651E6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13713</Words>
  <Characters>78169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dcterms:created xsi:type="dcterms:W3CDTF">2024-11-11T12:23:00Z</dcterms:created>
  <dcterms:modified xsi:type="dcterms:W3CDTF">2024-11-11T12:23:00Z</dcterms:modified>
</cp:coreProperties>
</file>