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0B" w:rsidRDefault="007E0E0B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</w:p>
    <w:p w:rsidR="00E93434" w:rsidRPr="00B46D23" w:rsidRDefault="00B46D23" w:rsidP="007E0E0B">
      <w:pPr>
        <w:spacing w:after="200" w:line="276" w:lineRule="auto"/>
        <w:ind w:left="10632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</w:t>
      </w:r>
      <w:r w:rsidRPr="00B46D23">
        <w:rPr>
          <w:b/>
          <w:color w:val="auto"/>
          <w:sz w:val="28"/>
          <w:szCs w:val="28"/>
        </w:rPr>
        <w:t>ПРОЕКТ</w:t>
      </w:r>
    </w:p>
    <w:p w:rsidR="00E93434" w:rsidRPr="0092573E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E93434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797A" w:rsidRPr="007E0E0B" w:rsidRDefault="0034797A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5459" w:rsidRPr="007E0E0B" w:rsidRDefault="00345459" w:rsidP="005B0E8F">
      <w:pPr>
        <w:jc w:val="center"/>
        <w:rPr>
          <w:b/>
          <w:bCs/>
          <w:color w:val="auto"/>
          <w:sz w:val="24"/>
          <w:szCs w:val="24"/>
        </w:rPr>
      </w:pPr>
      <w:r w:rsidRPr="007E0E0B">
        <w:rPr>
          <w:b/>
          <w:bCs/>
          <w:color w:val="auto"/>
          <w:sz w:val="24"/>
          <w:szCs w:val="24"/>
        </w:rPr>
        <w:t>ПРОГНОЗ</w:t>
      </w:r>
    </w:p>
    <w:p w:rsidR="005B0E8F" w:rsidRPr="007E0E0B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 xml:space="preserve">социально-экономического развития </w:t>
      </w:r>
      <w:proofErr w:type="spellStart"/>
      <w:r w:rsidRPr="007E0E0B">
        <w:rPr>
          <w:bCs/>
          <w:color w:val="auto"/>
          <w:sz w:val="24"/>
          <w:szCs w:val="24"/>
        </w:rPr>
        <w:t>Печенгского</w:t>
      </w:r>
      <w:proofErr w:type="spellEnd"/>
      <w:r w:rsidRPr="007E0E0B">
        <w:rPr>
          <w:bCs/>
          <w:color w:val="auto"/>
          <w:sz w:val="24"/>
          <w:szCs w:val="24"/>
        </w:rPr>
        <w:t xml:space="preserve"> муниципального округа</w:t>
      </w:r>
    </w:p>
    <w:p w:rsidR="005B0E8F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>на 202</w:t>
      </w:r>
      <w:r w:rsidR="004A51F8">
        <w:rPr>
          <w:bCs/>
          <w:color w:val="auto"/>
          <w:sz w:val="24"/>
          <w:szCs w:val="24"/>
        </w:rPr>
        <w:t>5</w:t>
      </w:r>
      <w:r w:rsidRPr="007E0E0B">
        <w:rPr>
          <w:bCs/>
          <w:color w:val="auto"/>
          <w:sz w:val="24"/>
          <w:szCs w:val="24"/>
        </w:rPr>
        <w:t xml:space="preserve"> год и на плановый период 202</w:t>
      </w:r>
      <w:r w:rsidR="004A51F8">
        <w:rPr>
          <w:bCs/>
          <w:color w:val="auto"/>
          <w:sz w:val="24"/>
          <w:szCs w:val="24"/>
        </w:rPr>
        <w:t>6</w:t>
      </w:r>
      <w:r w:rsidRPr="007E0E0B">
        <w:rPr>
          <w:bCs/>
          <w:color w:val="auto"/>
          <w:sz w:val="24"/>
          <w:szCs w:val="24"/>
        </w:rPr>
        <w:t xml:space="preserve"> и 202</w:t>
      </w:r>
      <w:r w:rsidR="004A51F8">
        <w:rPr>
          <w:bCs/>
          <w:color w:val="auto"/>
          <w:sz w:val="24"/>
          <w:szCs w:val="24"/>
        </w:rPr>
        <w:t>7</w:t>
      </w:r>
      <w:r w:rsidRPr="007E0E0B">
        <w:rPr>
          <w:bCs/>
          <w:color w:val="auto"/>
          <w:sz w:val="24"/>
          <w:szCs w:val="24"/>
        </w:rPr>
        <w:t xml:space="preserve"> годов</w:t>
      </w:r>
    </w:p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tbl>
      <w:tblPr>
        <w:tblpPr w:leftFromText="180" w:rightFromText="180" w:vertAnchor="text" w:tblpX="-105" w:tblpY="1"/>
        <w:tblOverlap w:val="never"/>
        <w:tblW w:w="153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1559"/>
        <w:gridCol w:w="1056"/>
        <w:gridCol w:w="1138"/>
        <w:gridCol w:w="1134"/>
        <w:gridCol w:w="1134"/>
        <w:gridCol w:w="1134"/>
        <w:gridCol w:w="1211"/>
        <w:gridCol w:w="1054"/>
        <w:gridCol w:w="1134"/>
        <w:gridCol w:w="1196"/>
      </w:tblGrid>
      <w:tr w:rsidR="00383A88" w:rsidTr="00383A88">
        <w:trPr>
          <w:trHeight w:val="368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</w:p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Показатели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</w:p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 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594"/>
          <w:tblHeader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</w:p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</w:p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</w:p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  <w:r w:rsidRPr="00C14FD4">
              <w:rPr>
                <w:sz w:val="22"/>
                <w:szCs w:val="22"/>
              </w:rPr>
              <w:t xml:space="preserve"> </w:t>
            </w:r>
          </w:p>
        </w:tc>
      </w:tr>
      <w:tr w:rsidR="00383A88" w:rsidTr="00383A88">
        <w:trPr>
          <w:trHeight w:val="203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203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83A88" w:rsidTr="00383A88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F71FF9" w:rsidRDefault="00383A88" w:rsidP="00383A88">
            <w:pPr>
              <w:rPr>
                <w:rFonts w:eastAsia="Arial Unicode MS"/>
                <w:bCs/>
                <w:sz w:val="22"/>
              </w:rPr>
            </w:pPr>
            <w:r w:rsidRPr="00F71FF9">
              <w:rPr>
                <w:bCs/>
                <w:sz w:val="22"/>
              </w:rPr>
              <w:t>Численность населения (среднегодовая)</w:t>
            </w:r>
            <w:r>
              <w:rPr>
                <w:bCs/>
                <w:sz w:val="22"/>
              </w:rPr>
              <w:t xml:space="preserve"> – </w:t>
            </w:r>
            <w:r w:rsidRPr="00F71FF9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  <w:rPr>
                <w:bCs/>
              </w:rPr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28,286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26,646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   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5120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   городского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23,878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22,484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22,545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   сельского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4,100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B271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366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прибывших</w:t>
            </w:r>
            <w:proofErr w:type="gramEnd"/>
            <w:r>
              <w:rPr>
                <w:bCs/>
                <w:sz w:val="22"/>
              </w:rPr>
              <w:t xml:space="preserve"> 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0,635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прибывших</w:t>
            </w:r>
            <w:proofErr w:type="gramEnd"/>
            <w:r w:rsidRPr="006B3996">
              <w:rPr>
                <w:sz w:val="22"/>
              </w:rPr>
              <w:t xml:space="preserve"> трудоспособного возраста</w:t>
            </w:r>
            <w:r>
              <w:rPr>
                <w:bCs/>
                <w:sz w:val="22"/>
              </w:rPr>
              <w:t xml:space="preserve"> 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0,472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выбывших</w:t>
            </w:r>
            <w:proofErr w:type="gramEnd"/>
            <w:r w:rsidRPr="006B3996"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1,380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B3996" w:rsidRDefault="00383A88" w:rsidP="00383A8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выбывших</w:t>
            </w:r>
            <w:proofErr w:type="gramEnd"/>
            <w:r w:rsidRPr="006B3996">
              <w:rPr>
                <w:sz w:val="22"/>
              </w:rPr>
              <w:t xml:space="preserve"> трудоспособного возраста</w:t>
            </w:r>
            <w:r>
              <w:rPr>
                <w:bCs/>
                <w:sz w:val="22"/>
              </w:rPr>
              <w:t xml:space="preserve"> 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6B3996" w:rsidRDefault="00383A88" w:rsidP="00383A88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0,989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Коэффициент естественного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C7020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C7020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</w:tr>
      <w:tr w:rsidR="00383A88" w:rsidTr="00383A88">
        <w:trPr>
          <w:trHeight w:val="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Коэффициент миграционного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51204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2. Производство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383A88" w:rsidTr="00383A88">
        <w:trPr>
          <w:trHeight w:val="2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2.1 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</w:t>
            </w:r>
            <w:r w:rsidRPr="00D4414D">
              <w:rPr>
                <w:sz w:val="22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910CB5" w:rsidP="00383A8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054FE5">
              <w:rPr>
                <w:sz w:val="22"/>
                <w:szCs w:val="22"/>
                <w:lang w:val="en-US"/>
              </w:rPr>
              <w:t>40 423</w:t>
            </w:r>
            <w:r w:rsidRPr="00054FE5">
              <w:rPr>
                <w:sz w:val="22"/>
                <w:szCs w:val="22"/>
              </w:rPr>
              <w:t>,</w:t>
            </w:r>
            <w:r w:rsidRPr="00054FE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054FE5">
              <w:rPr>
                <w:sz w:val="22"/>
                <w:szCs w:val="22"/>
                <w:lang w:val="en-US"/>
              </w:rPr>
              <w:t>43</w:t>
            </w:r>
            <w:r w:rsidRPr="00054FE5">
              <w:rPr>
                <w:sz w:val="22"/>
                <w:szCs w:val="22"/>
              </w:rPr>
              <w:t> </w:t>
            </w:r>
            <w:r w:rsidRPr="00054FE5">
              <w:rPr>
                <w:sz w:val="22"/>
                <w:szCs w:val="22"/>
                <w:lang w:val="en-US"/>
              </w:rPr>
              <w:t>212</w:t>
            </w:r>
            <w:r w:rsidRPr="00054FE5">
              <w:rPr>
                <w:sz w:val="22"/>
                <w:szCs w:val="22"/>
              </w:rPr>
              <w:t>,</w:t>
            </w:r>
            <w:r w:rsidRPr="00054FE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43 856,5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46 598,2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47 839,8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48 207,3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49 873,5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50 094,3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52 316,1</w:t>
            </w:r>
          </w:p>
        </w:tc>
      </w:tr>
      <w:tr w:rsidR="00383A88" w:rsidRPr="002563EE" w:rsidTr="00383A88">
        <w:trPr>
          <w:trHeight w:val="5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2563EE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промышленного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2563EE" w:rsidRDefault="00383A88" w:rsidP="00383A88">
            <w:pPr>
              <w:jc w:val="center"/>
              <w:rPr>
                <w:sz w:val="22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90,6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103,5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103,9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104,9</w:t>
            </w:r>
          </w:p>
        </w:tc>
      </w:tr>
      <w:tr w:rsidR="00383A88" w:rsidTr="00383A88">
        <w:trPr>
          <w:trHeight w:val="2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383A88" w:rsidRDefault="00383A88" w:rsidP="00383A8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383A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54FE5" w:rsidRDefault="00383A88" w:rsidP="00383A88">
            <w:pPr>
              <w:jc w:val="center"/>
              <w:rPr>
                <w:sz w:val="22"/>
              </w:rPr>
            </w:pP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>: Добыча полезных ископаемых*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910CB5" w:rsidP="00383A8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32 407,2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36 231,3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36 267,5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39 057,3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39 999,3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40 424,3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41 759,3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42 041,3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54FE5" w:rsidRDefault="00383A88" w:rsidP="00383A88">
            <w:pPr>
              <w:jc w:val="right"/>
              <w:rPr>
                <w:sz w:val="22"/>
                <w:szCs w:val="22"/>
              </w:rPr>
            </w:pPr>
            <w:r w:rsidRPr="00054FE5">
              <w:rPr>
                <w:sz w:val="22"/>
                <w:szCs w:val="22"/>
              </w:rPr>
              <w:t>43 847,3</w:t>
            </w:r>
          </w:p>
        </w:tc>
      </w:tr>
      <w:tr w:rsidR="00383A88" w:rsidTr="00383A88">
        <w:trPr>
          <w:trHeight w:val="5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Темп роста производства – 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 xml:space="preserve">: Добыча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91,8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110,3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105,0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C</w:t>
            </w:r>
            <w:r>
              <w:rPr>
                <w:rFonts w:eastAsia="Arial Unicode MS"/>
                <w:sz w:val="22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910CB5" w:rsidP="00383A8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3 345,4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3 877,9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3 955,5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4 022,7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E6F3B">
              <w:rPr>
                <w:sz w:val="22"/>
                <w:szCs w:val="22"/>
              </w:rPr>
              <w:t xml:space="preserve"> 082,0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4 167,5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4 290,2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4 280,0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4 474,7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A7D69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42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A7D69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A7D69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66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Раздел 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80,3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0E6F3B" w:rsidRDefault="00383A88" w:rsidP="00383A88">
            <w:pPr>
              <w:jc w:val="right"/>
              <w:rPr>
                <w:sz w:val="22"/>
                <w:szCs w:val="22"/>
              </w:rPr>
            </w:pPr>
            <w:r w:rsidRPr="000E6F3B"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103,2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104,3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910CB5" w:rsidP="00383A88">
            <w:pPr>
              <w:jc w:val="center"/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3 842,8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2 832,9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3 503,7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3 361,2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3 568,7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3 518,7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3 738,3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80,6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103,7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104,7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104,8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910CB5" w:rsidP="00383A88">
            <w:pPr>
              <w:jc w:val="center"/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827,6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255,8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270,0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100,2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91F1E" w:rsidRDefault="00383A88" w:rsidP="00383A88">
            <w:pPr>
              <w:rPr>
                <w:b/>
                <w:sz w:val="22"/>
              </w:rPr>
            </w:pPr>
            <w:r w:rsidRPr="00191F1E">
              <w:rPr>
                <w:b/>
                <w:sz w:val="22"/>
              </w:rPr>
              <w:t>3. Рынок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91F1E" w:rsidRDefault="00383A88" w:rsidP="00383A88">
            <w:pPr>
              <w:rPr>
                <w:sz w:val="22"/>
              </w:rPr>
            </w:pPr>
            <w:r w:rsidRPr="00191F1E">
              <w:rPr>
                <w:sz w:val="22"/>
              </w:rPr>
              <w:t>Оборот розничной торговли</w:t>
            </w:r>
            <w:r>
              <w:rPr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910CB5" w:rsidP="00383A88">
            <w:pPr>
              <w:jc w:val="center"/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4 742,1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5 445,6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6 018,2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6 259,5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6 313,9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6 489,1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6 432,2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6 700,6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91F1E" w:rsidRDefault="00383A88" w:rsidP="00383A88">
            <w:pPr>
              <w:rPr>
                <w:sz w:val="22"/>
              </w:rPr>
            </w:pPr>
            <w:r w:rsidRPr="000218D8">
              <w:rPr>
                <w:sz w:val="22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bCs/>
              </w:rPr>
            </w:pPr>
            <w:proofErr w:type="gramStart"/>
            <w:r w:rsidRPr="000218D8">
              <w:t>в</w:t>
            </w:r>
            <w:proofErr w:type="gramEnd"/>
            <w:r w:rsidRPr="000218D8">
              <w:t xml:space="preserve"> % </w:t>
            </w:r>
            <w:proofErr w:type="gramStart"/>
            <w:r w:rsidRPr="000218D8">
              <w:t>к</w:t>
            </w:r>
            <w:proofErr w:type="gramEnd"/>
            <w:r w:rsidRPr="000218D8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99,7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97,8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99,2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sz w:val="22"/>
              </w:rPr>
            </w:pPr>
            <w:r w:rsidRPr="00191F1E">
              <w:rPr>
                <w:sz w:val="22"/>
              </w:rPr>
              <w:t>Оборот розничной торговли</w:t>
            </w:r>
            <w:r w:rsidRPr="000218D8">
              <w:rPr>
                <w:sz w:val="22"/>
              </w:rPr>
              <w:t xml:space="preserve"> без субъектов малого </w:t>
            </w:r>
            <w:r>
              <w:rPr>
                <w:sz w:val="22"/>
              </w:rPr>
              <w:t>п</w:t>
            </w:r>
            <w:r w:rsidRPr="000218D8">
              <w:rPr>
                <w:sz w:val="22"/>
              </w:rPr>
              <w:t>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910CB5" w:rsidP="00383A88">
            <w:pPr>
              <w:jc w:val="center"/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4 486,5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5 234,0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5 790,4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5 954,1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6 022,0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6 065,4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6 241,5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6 173,5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6 442,9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Оборот общественного питания**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910CB5" w:rsidP="00383A88">
            <w:pPr>
              <w:jc w:val="center"/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>
              <w:rPr>
                <w:bCs/>
              </w:rPr>
              <w:t xml:space="preserve">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1 253,3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1 253,9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1 484,7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1 533,5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1 551,3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1 567,3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A7D69" w:rsidRDefault="00383A88" w:rsidP="00383A88">
            <w:pPr>
              <w:jc w:val="right"/>
              <w:rPr>
                <w:sz w:val="22"/>
                <w:szCs w:val="22"/>
              </w:rPr>
            </w:pPr>
            <w:r w:rsidRPr="00CA7D69">
              <w:rPr>
                <w:sz w:val="22"/>
                <w:szCs w:val="22"/>
              </w:rPr>
              <w:t>1 594,0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A7D69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F02DE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564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A7D69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F02DE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F02DE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sz w:val="22"/>
              </w:rPr>
            </w:pPr>
            <w:r w:rsidRPr="000218D8">
              <w:rPr>
                <w:sz w:val="22"/>
              </w:rPr>
              <w:t xml:space="preserve">Индекс физического объема оборота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383A88" w:rsidP="00383A88">
            <w:pPr>
              <w:jc w:val="center"/>
            </w:pPr>
            <w:proofErr w:type="gramStart"/>
            <w:r w:rsidRPr="000218D8">
              <w:t>в</w:t>
            </w:r>
            <w:proofErr w:type="gramEnd"/>
            <w:r w:rsidRPr="000218D8">
              <w:t xml:space="preserve"> % </w:t>
            </w:r>
            <w:proofErr w:type="gramStart"/>
            <w:r w:rsidRPr="000218D8">
              <w:t>к</w:t>
            </w:r>
            <w:proofErr w:type="gramEnd"/>
            <w:r w:rsidRPr="000218D8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99,1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02DE" w:rsidRDefault="00383A88" w:rsidP="00383A88">
            <w:pPr>
              <w:jc w:val="right"/>
              <w:rPr>
                <w:sz w:val="22"/>
                <w:szCs w:val="22"/>
              </w:rPr>
            </w:pPr>
            <w:r w:rsidRPr="002F02DE">
              <w:rPr>
                <w:sz w:val="22"/>
                <w:szCs w:val="22"/>
              </w:rPr>
              <w:t>99,8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sz w:val="22"/>
              </w:rPr>
            </w:pPr>
            <w:r w:rsidRPr="000218D8">
              <w:rPr>
                <w:rFonts w:hint="eastAsia"/>
                <w:sz w:val="22"/>
              </w:rPr>
              <w:t>Количество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объектов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розничной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торговли</w:t>
            </w:r>
            <w:r w:rsidRPr="000218D8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383A88" w:rsidP="00383A88">
            <w:pPr>
              <w:jc w:val="center"/>
              <w:rPr>
                <w:bCs/>
              </w:rPr>
            </w:pPr>
            <w:r w:rsidRPr="000218D8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261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261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261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261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rFonts w:hint="eastAsia"/>
                <w:sz w:val="22"/>
              </w:rPr>
            </w:pPr>
            <w:r w:rsidRPr="000218D8">
              <w:rPr>
                <w:rFonts w:hint="eastAsia"/>
                <w:sz w:val="22"/>
              </w:rPr>
              <w:t>Количество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объектов</w:t>
            </w:r>
            <w:r w:rsidRPr="000218D8">
              <w:rPr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 w:rsidRPr="000218D8">
              <w:rPr>
                <w:rFonts w:hint="eastAsia"/>
                <w:sz w:val="22"/>
              </w:rPr>
              <w:t>бщественного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383A88" w:rsidP="00383A88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53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B86038" w:rsidRDefault="00383A88" w:rsidP="00383A88">
            <w:pPr>
              <w:rPr>
                <w:sz w:val="22"/>
              </w:rPr>
            </w:pPr>
            <w:r w:rsidRPr="00B86038">
              <w:rPr>
                <w:rFonts w:hint="eastAsia"/>
                <w:sz w:val="22"/>
              </w:rPr>
              <w:t>Количество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объектов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бытового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обслуживания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населения</w:t>
            </w:r>
            <w:r w:rsidRPr="00B86038">
              <w:rPr>
                <w:sz w:val="22"/>
              </w:rPr>
              <w:t xml:space="preserve">, </w:t>
            </w:r>
            <w:r w:rsidRPr="00B86038">
              <w:rPr>
                <w:rFonts w:hint="eastAsia"/>
                <w:sz w:val="22"/>
              </w:rPr>
              <w:t>оказывающих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86038" w:rsidRDefault="00383A88" w:rsidP="00383A88">
            <w:pPr>
              <w:jc w:val="center"/>
              <w:rPr>
                <w:bCs/>
              </w:rPr>
            </w:pPr>
            <w:r w:rsidRPr="00B86038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112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112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112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</w:pPr>
            <w:r w:rsidRPr="00536A7C">
              <w:rPr>
                <w:sz w:val="22"/>
                <w:szCs w:val="22"/>
              </w:rPr>
              <w:t>112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12A5D" w:rsidRDefault="00383A88" w:rsidP="00383A88">
            <w:pPr>
              <w:rPr>
                <w:sz w:val="22"/>
              </w:rPr>
            </w:pPr>
            <w:r w:rsidRPr="00D12A5D">
              <w:rPr>
                <w:sz w:val="22"/>
              </w:rPr>
              <w:t>Объем платных услуг населению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12A5D" w:rsidRDefault="00910CB5" w:rsidP="00383A88">
            <w:pPr>
              <w:jc w:val="center"/>
            </w:pPr>
            <w:r>
              <w:rPr>
                <w:bCs/>
              </w:rPr>
              <w:t>м</w:t>
            </w:r>
            <w:r w:rsidR="00383A88" w:rsidRPr="00D12A5D">
              <w:rPr>
                <w:bCs/>
              </w:rPr>
              <w:t>лн</w:t>
            </w:r>
            <w:r>
              <w:rPr>
                <w:bCs/>
              </w:rPr>
              <w:t>.</w:t>
            </w:r>
            <w:r w:rsidR="00383A88" w:rsidRPr="00D12A5D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1 455,1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1 775,5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1 794,5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1 820,2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1 861,0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1 915,9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12A5D" w:rsidRDefault="00383A88" w:rsidP="00383A88">
            <w:pPr>
              <w:rPr>
                <w:sz w:val="22"/>
              </w:rPr>
            </w:pPr>
            <w:r w:rsidRPr="00D12A5D">
              <w:rPr>
                <w:sz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12A5D" w:rsidRDefault="00383A88" w:rsidP="00383A88">
            <w:pPr>
              <w:jc w:val="center"/>
            </w:pPr>
            <w:r w:rsidRPr="00D12A5D"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99,7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98,8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357E1D" w:rsidRDefault="00383A88" w:rsidP="00383A88">
            <w:pPr>
              <w:rPr>
                <w:sz w:val="22"/>
              </w:rPr>
            </w:pPr>
            <w:r w:rsidRPr="00357E1D">
              <w:rPr>
                <w:sz w:val="22"/>
              </w:rPr>
              <w:t>Площадь торгового зала объектов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357E1D" w:rsidRDefault="00383A88" w:rsidP="00383A88">
            <w:pPr>
              <w:jc w:val="center"/>
            </w:pPr>
            <w:proofErr w:type="spellStart"/>
            <w:r w:rsidRPr="00357E1D">
              <w:t>кв</w:t>
            </w:r>
            <w:proofErr w:type="gramStart"/>
            <w:r w:rsidRPr="00357E1D">
              <w:t>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21 795,6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21 895,0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sz w:val="22"/>
              </w:rPr>
            </w:pPr>
            <w:r w:rsidRPr="000218D8">
              <w:rPr>
                <w:sz w:val="22"/>
              </w:rPr>
              <w:t>Обеспеченность населения торговыми площадями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383A88" w:rsidP="00383A88">
            <w:pPr>
              <w:jc w:val="center"/>
            </w:pPr>
            <w:r w:rsidRPr="000218D8">
              <w:t>кв. м на 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699,4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774,1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798,8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823,8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821,7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0218D8" w:rsidRDefault="00383A88" w:rsidP="00383A88">
            <w:pPr>
              <w:rPr>
                <w:sz w:val="22"/>
              </w:rPr>
            </w:pPr>
            <w:r w:rsidRPr="000218D8">
              <w:rPr>
                <w:rFonts w:hint="eastAsia"/>
                <w:sz w:val="22"/>
              </w:rPr>
              <w:t>Число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коллективных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средств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218D8" w:rsidRDefault="00383A88" w:rsidP="00383A88">
            <w:pPr>
              <w:jc w:val="center"/>
            </w:pPr>
            <w:r w:rsidRPr="000218D8">
              <w:rPr>
                <w:sz w:val="22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15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Малое и среднее 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35099" w:rsidRDefault="00383A88" w:rsidP="00383A88">
            <w:pPr>
              <w:rPr>
                <w:sz w:val="22"/>
              </w:rPr>
            </w:pPr>
            <w:r w:rsidRPr="00635099">
              <w:rPr>
                <w:sz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F810D1" w:rsidRDefault="00383A88" w:rsidP="00383A88">
            <w:pPr>
              <w:jc w:val="center"/>
            </w:pPr>
            <w:r w:rsidRPr="00F810D1"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155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35099" w:rsidRDefault="00383A88" w:rsidP="00383A88">
            <w:pPr>
              <w:rPr>
                <w:rFonts w:eastAsia="Arial Unicode MS"/>
                <w:sz w:val="22"/>
                <w:szCs w:val="16"/>
              </w:rPr>
            </w:pPr>
            <w:r w:rsidRPr="00635099">
              <w:rPr>
                <w:sz w:val="22"/>
                <w:szCs w:val="16"/>
              </w:rPr>
              <w:t>Среднесписочная численность работников (без внешних совместителей) по малым предприятиям</w:t>
            </w:r>
            <w:r w:rsidRPr="00635099">
              <w:rPr>
                <w:bCs/>
                <w:sz w:val="22"/>
              </w:rPr>
              <w:t xml:space="preserve"> – </w:t>
            </w:r>
            <w:r w:rsidRPr="00F810D1">
              <w:rPr>
                <w:sz w:val="22"/>
                <w:szCs w:val="16"/>
              </w:rPr>
              <w:t>всего***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F810D1" w:rsidRDefault="00383A88" w:rsidP="00383A88">
            <w:pPr>
              <w:jc w:val="center"/>
              <w:rPr>
                <w:rFonts w:eastAsia="Arial Unicode MS"/>
              </w:rPr>
            </w:pPr>
            <w:r w:rsidRPr="00F810D1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585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678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35099" w:rsidRDefault="00383A88" w:rsidP="00383A88">
            <w:pPr>
              <w:rPr>
                <w:sz w:val="22"/>
                <w:szCs w:val="16"/>
              </w:rPr>
            </w:pPr>
            <w:r w:rsidRPr="00635099">
              <w:rPr>
                <w:sz w:val="22"/>
                <w:szCs w:val="16"/>
              </w:rPr>
              <w:t>Численность индивидуальных предпринимателей</w:t>
            </w:r>
            <w:r w:rsidRPr="00635099">
              <w:rPr>
                <w:rStyle w:val="af3"/>
                <w:sz w:val="22"/>
                <w:szCs w:val="16"/>
              </w:rPr>
              <w:endnoteReference w:id="1"/>
            </w:r>
            <w:r w:rsidRPr="00635099">
              <w:rPr>
                <w:bCs/>
                <w:sz w:val="22"/>
              </w:rPr>
              <w:t xml:space="preserve"> – </w:t>
            </w:r>
            <w:r w:rsidRPr="00635099">
              <w:rPr>
                <w:sz w:val="22"/>
                <w:szCs w:val="16"/>
              </w:rPr>
              <w:t>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F810D1" w:rsidRDefault="00383A88" w:rsidP="00383A88">
            <w:pPr>
              <w:jc w:val="center"/>
            </w:pPr>
            <w:r w:rsidRPr="00F810D1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589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718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CA7D69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F02DE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706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F02DE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35099" w:rsidRDefault="00383A88" w:rsidP="00383A88">
            <w:pPr>
              <w:rPr>
                <w:sz w:val="22"/>
                <w:szCs w:val="16"/>
              </w:rPr>
            </w:pPr>
            <w:r w:rsidRPr="00635099">
              <w:rPr>
                <w:sz w:val="22"/>
              </w:rPr>
              <w:t>Количество средних предприятий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r w:rsidRPr="00017CBF"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635099" w:rsidRDefault="00383A88" w:rsidP="00383A88">
            <w:pPr>
              <w:rPr>
                <w:rFonts w:eastAsia="Arial Unicode MS"/>
                <w:sz w:val="22"/>
                <w:szCs w:val="16"/>
              </w:rPr>
            </w:pPr>
            <w:r w:rsidRPr="00635099">
              <w:rPr>
                <w:sz w:val="22"/>
                <w:szCs w:val="16"/>
              </w:rPr>
              <w:t>Среднесписочная численность работников (без внешних совместителей) по средним предприятиям</w:t>
            </w:r>
            <w:r w:rsidRPr="00635099">
              <w:rPr>
                <w:bCs/>
                <w:sz w:val="22"/>
              </w:rPr>
              <w:t xml:space="preserve"> – </w:t>
            </w:r>
            <w:r w:rsidRPr="00635099">
              <w:rPr>
                <w:sz w:val="22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  <w:r w:rsidRPr="00017CBF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B0B95" w:rsidRDefault="00383A88" w:rsidP="00383A88">
            <w:pPr>
              <w:jc w:val="right"/>
              <w:rPr>
                <w:sz w:val="22"/>
                <w:szCs w:val="22"/>
              </w:rPr>
            </w:pPr>
            <w:r w:rsidRPr="00EB0B95">
              <w:rPr>
                <w:sz w:val="22"/>
                <w:szCs w:val="22"/>
              </w:rPr>
              <w:t>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5. Инвестиции и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00D09" w:rsidRDefault="00383A88" w:rsidP="00383A88">
            <w:pPr>
              <w:rPr>
                <w:bCs/>
                <w:sz w:val="22"/>
              </w:rPr>
            </w:pPr>
            <w:r w:rsidRPr="00100D09">
              <w:rPr>
                <w:bCs/>
                <w:sz w:val="22"/>
              </w:rPr>
              <w:t xml:space="preserve">Объем инвестиций в основной капитал (за исключением бюджетных средств) 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bCs/>
              </w:rPr>
            </w:pPr>
            <w:r w:rsidRPr="00100D09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6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233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7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360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11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695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6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658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6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873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9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382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9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728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  <w:lang w:val="en-US"/>
              </w:rPr>
            </w:pPr>
            <w:r w:rsidRPr="00E86F7D">
              <w:rPr>
                <w:sz w:val="22"/>
                <w:szCs w:val="22"/>
                <w:lang w:val="en-US"/>
              </w:rPr>
              <w:t>10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137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  <w:lang w:val="en-US"/>
              </w:rPr>
              <w:t>10</w:t>
            </w:r>
            <w:r w:rsidRPr="00E86F7D"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  <w:lang w:val="en-US"/>
              </w:rPr>
              <w:t>662</w:t>
            </w:r>
            <w:r w:rsidRPr="00E86F7D">
              <w:rPr>
                <w:sz w:val="22"/>
                <w:szCs w:val="22"/>
              </w:rPr>
              <w:t>,</w:t>
            </w:r>
            <w:r w:rsidRPr="00E86F7D">
              <w:rPr>
                <w:sz w:val="22"/>
                <w:szCs w:val="22"/>
                <w:lang w:val="en-US"/>
              </w:rPr>
              <w:t>9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5095E" w:rsidRDefault="00383A88" w:rsidP="00383A88">
            <w:pPr>
              <w:rPr>
                <w:rFonts w:eastAsia="Arial Unicode MS"/>
                <w:bCs/>
                <w:sz w:val="22"/>
              </w:rPr>
            </w:pPr>
            <w:r w:rsidRPr="0015095E">
              <w:rPr>
                <w:bCs/>
                <w:sz w:val="22"/>
              </w:rPr>
              <w:t>Объем инвестиций (в основной капитал) за счет всех источников финансирования</w:t>
            </w:r>
            <w:r>
              <w:rPr>
                <w:bCs/>
                <w:sz w:val="22"/>
              </w:rPr>
              <w:t xml:space="preserve"> – </w:t>
            </w:r>
            <w:r w:rsidRPr="0015095E">
              <w:rPr>
                <w:bCs/>
                <w:sz w:val="22"/>
              </w:rPr>
              <w:t>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м</w:t>
            </w:r>
            <w:r w:rsidRPr="00017CBF">
              <w:rPr>
                <w:bCs/>
              </w:rPr>
              <w:t>лн</w:t>
            </w:r>
            <w:r>
              <w:rPr>
                <w:bCs/>
              </w:rPr>
              <w:t xml:space="preserve">.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386,6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707,3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070,9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137,1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86F7D">
              <w:rPr>
                <w:sz w:val="22"/>
                <w:szCs w:val="22"/>
              </w:rPr>
              <w:t>662,9</w:t>
            </w:r>
          </w:p>
        </w:tc>
      </w:tr>
      <w:tr w:rsidR="00383A88" w:rsidRPr="00D7654D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rFonts w:eastAsia="Arial Unicode MS"/>
                <w:bCs/>
                <w:sz w:val="22"/>
              </w:rPr>
            </w:pPr>
            <w:r w:rsidRPr="00D7654D">
              <w:rPr>
                <w:bCs/>
                <w:sz w:val="22"/>
              </w:rPr>
              <w:t>Объем инвестиций (в основной капитал) за счет субъектов малого и среднего предпринимательства</w:t>
            </w:r>
            <w:r>
              <w:rPr>
                <w:bCs/>
                <w:sz w:val="22"/>
              </w:rPr>
              <w:t xml:space="preserve"> – </w:t>
            </w:r>
            <w:r w:rsidRPr="00D7654D">
              <w:rPr>
                <w:bCs/>
                <w:sz w:val="22"/>
              </w:rPr>
              <w:t>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017CBF">
              <w:rPr>
                <w:bCs/>
              </w:rPr>
              <w:t>лн</w:t>
            </w:r>
            <w:r>
              <w:rPr>
                <w:bCs/>
              </w:rPr>
              <w:t xml:space="preserve">.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187,0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174,3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961,7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955,1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155,0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139,3</w:t>
            </w:r>
          </w:p>
        </w:tc>
      </w:tr>
      <w:tr w:rsidR="00383A88" w:rsidRPr="00D7654D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5A5C09" w:rsidRDefault="00383A88" w:rsidP="00383A88">
            <w:pPr>
              <w:rPr>
                <w:bCs/>
                <w:sz w:val="22"/>
              </w:rPr>
            </w:pPr>
            <w:r w:rsidRPr="005A5C09">
              <w:rPr>
                <w:bCs/>
                <w:sz w:val="22"/>
              </w:rPr>
              <w:t>Объем инвестиций, осуществляемые организациями, находящимися на территории муниципального образования без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1B3507" w:rsidRDefault="00910CB5" w:rsidP="00383A88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м</w:t>
            </w:r>
            <w:r w:rsidR="00383A88" w:rsidRPr="00017CBF">
              <w:rPr>
                <w:bCs/>
              </w:rPr>
              <w:t>лн</w:t>
            </w:r>
            <w:r w:rsidR="00383A88">
              <w:rPr>
                <w:bCs/>
              </w:rPr>
              <w:t xml:space="preserve">. </w:t>
            </w:r>
            <w:r w:rsidR="00383A88"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6 199,6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7 574,3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13 967,7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7 270,2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7 533,0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9 109,3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9 462,1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9 982,1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E86F7D" w:rsidRDefault="00383A88" w:rsidP="00383A88">
            <w:pPr>
              <w:jc w:val="right"/>
              <w:rPr>
                <w:sz w:val="22"/>
                <w:szCs w:val="22"/>
              </w:rPr>
            </w:pPr>
            <w:r w:rsidRPr="00E86F7D">
              <w:rPr>
                <w:sz w:val="22"/>
                <w:szCs w:val="22"/>
              </w:rPr>
              <w:t>10 523,6</w:t>
            </w:r>
          </w:p>
        </w:tc>
      </w:tr>
      <w:tr w:rsidR="00383A88" w:rsidRPr="00D7654D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 xml:space="preserve">Индекс физического объема </w:t>
            </w:r>
            <w:r w:rsidRPr="00D7654D">
              <w:rPr>
                <w:bCs/>
                <w:sz w:val="22"/>
              </w:rPr>
              <w:t>за счет всех источников финансирования</w:t>
            </w:r>
            <w:r>
              <w:rPr>
                <w:bCs/>
                <w:sz w:val="22"/>
              </w:rPr>
              <w:t xml:space="preserve"> – </w:t>
            </w:r>
            <w:r w:rsidRPr="00D7654D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  <w:r w:rsidRPr="00D7654D">
              <w:t>% к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79,9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52,0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96,2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98,0</w:t>
            </w:r>
          </w:p>
        </w:tc>
      </w:tr>
      <w:tr w:rsidR="00383A88" w:rsidRPr="00D7654D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  <w:r w:rsidRPr="00D7654D"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114,6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105,7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104,4</w:t>
            </w:r>
          </w:p>
        </w:tc>
      </w:tr>
      <w:tr w:rsidR="00383A88" w:rsidRPr="00D7654D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Инвестиции в основной капитал по источникам финансирования:</w:t>
            </w:r>
            <w:r>
              <w:rPr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</w:tr>
      <w:tr w:rsidR="00383A88" w:rsidTr="00383A88">
        <w:trPr>
          <w:trHeight w:val="25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F02DE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sz w:val="22"/>
              </w:rPr>
            </w:pPr>
            <w:r w:rsidRPr="00D7654D">
              <w:rPr>
                <w:sz w:val="22"/>
              </w:rPr>
              <w:t>собственные средства предприятий</w:t>
            </w:r>
            <w:r>
              <w:rPr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</w:t>
            </w:r>
            <w:r w:rsidRPr="00017CBF">
              <w:rPr>
                <w:bCs/>
              </w:rPr>
              <w:t>лн</w:t>
            </w:r>
            <w:r>
              <w:rPr>
                <w:bCs/>
              </w:rPr>
              <w:t xml:space="preserve">.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6 181,1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6 302,7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10 137,1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C14EFC" w:rsidRDefault="00383A88" w:rsidP="00383A88">
            <w:pPr>
              <w:jc w:val="right"/>
              <w:rPr>
                <w:sz w:val="22"/>
                <w:szCs w:val="22"/>
              </w:rPr>
            </w:pPr>
            <w:r w:rsidRPr="00C14EFC">
              <w:rPr>
                <w:sz w:val="22"/>
                <w:szCs w:val="22"/>
              </w:rPr>
              <w:t>10 662,9</w:t>
            </w:r>
          </w:p>
        </w:tc>
      </w:tr>
      <w:tr w:rsidR="00383A88" w:rsidTr="00383A88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sz w:val="22"/>
              </w:rPr>
            </w:pPr>
            <w:r w:rsidRPr="00D7654D">
              <w:rPr>
                <w:sz w:val="22"/>
              </w:rPr>
              <w:t>привлеченные средства</w:t>
            </w:r>
            <w:r>
              <w:rPr>
                <w:sz w:val="22"/>
              </w:rPr>
              <w:t>**</w:t>
            </w:r>
            <w:r w:rsidRPr="00D7654D">
              <w:rPr>
                <w:sz w:val="22"/>
              </w:rPr>
              <w:t>: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</w:t>
            </w:r>
            <w:r w:rsidRPr="00017CBF">
              <w:rPr>
                <w:bCs/>
              </w:rPr>
              <w:t>лн</w:t>
            </w:r>
            <w:r>
              <w:rPr>
                <w:bCs/>
              </w:rPr>
              <w:t xml:space="preserve">.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205,5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1 404,5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1 404,5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901,2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F1AE4" w:rsidRDefault="00383A88" w:rsidP="00383A88">
            <w:pPr>
              <w:jc w:val="right"/>
              <w:rPr>
                <w:sz w:val="22"/>
                <w:szCs w:val="22"/>
              </w:rPr>
            </w:pPr>
            <w:r w:rsidRPr="002F1AE4">
              <w:rPr>
                <w:sz w:val="22"/>
                <w:szCs w:val="22"/>
              </w:rPr>
              <w:t>0,0</w:t>
            </w:r>
          </w:p>
        </w:tc>
      </w:tr>
      <w:tr w:rsidR="00383A88" w:rsidTr="00383A88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sz w:val="22"/>
              </w:rPr>
            </w:pPr>
            <w:r w:rsidRPr="00D7654D">
              <w:rPr>
                <w:sz w:val="22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  <w:r>
              <w:rPr>
                <w:bCs/>
              </w:rPr>
              <w:t>м</w:t>
            </w:r>
            <w:r w:rsidRPr="00017CBF">
              <w:rPr>
                <w:bCs/>
              </w:rPr>
              <w:t>лн</w:t>
            </w:r>
            <w:r>
              <w:rPr>
                <w:bCs/>
              </w:rPr>
              <w:t xml:space="preserve">.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153,6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318,1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834,2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688,5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0,0</w:t>
            </w:r>
          </w:p>
        </w:tc>
      </w:tr>
      <w:tr w:rsidR="00383A88" w:rsidTr="00383A88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D7654D" w:rsidRDefault="00383A88" w:rsidP="00383A88">
            <w:pPr>
              <w:rPr>
                <w:sz w:val="22"/>
              </w:rPr>
            </w:pPr>
            <w:r w:rsidRPr="00D7654D">
              <w:rPr>
                <w:sz w:val="22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D7654D" w:rsidRDefault="00383A88" w:rsidP="00383A88">
            <w:pPr>
              <w:jc w:val="center"/>
              <w:rPr>
                <w:rFonts w:eastAsia="Arial Unicode MS"/>
              </w:rPr>
            </w:pPr>
            <w:proofErr w:type="gramStart"/>
            <w:r w:rsidRPr="00D7654D">
              <w:t>в</w:t>
            </w:r>
            <w:proofErr w:type="gramEnd"/>
            <w:r w:rsidRPr="00D7654D">
              <w:t xml:space="preserve"> % </w:t>
            </w:r>
            <w:proofErr w:type="gramStart"/>
            <w:r w:rsidRPr="00D7654D">
              <w:t>к</w:t>
            </w:r>
            <w:proofErr w:type="gramEnd"/>
            <w:r w:rsidRPr="00D7654D">
              <w:t xml:space="preserve">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248,1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78,8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AC00A9" w:rsidRDefault="00383A88" w:rsidP="00383A88">
            <w:pPr>
              <w:jc w:val="right"/>
              <w:rPr>
                <w:sz w:val="22"/>
                <w:szCs w:val="22"/>
              </w:rPr>
            </w:pPr>
            <w:r w:rsidRPr="00AC00A9">
              <w:rPr>
                <w:sz w:val="22"/>
                <w:szCs w:val="22"/>
              </w:rPr>
              <w:t>0,0</w:t>
            </w:r>
          </w:p>
        </w:tc>
      </w:tr>
      <w:tr w:rsidR="00383A88" w:rsidTr="00383A88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 w:rsidRPr="00D7654D">
              <w:rPr>
                <w:sz w:val="22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527092" w:rsidRDefault="00383A88" w:rsidP="00383A88">
            <w:pPr>
              <w:rPr>
                <w:rFonts w:eastAsia="Arial Unicode MS"/>
                <w:sz w:val="22"/>
              </w:rPr>
            </w:pPr>
            <w:r w:rsidRPr="00527092">
              <w:rPr>
                <w:sz w:val="22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</w:pPr>
            <w:r w:rsidRPr="000F401B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16,7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369,9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406,2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406,2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0,0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527092" w:rsidRDefault="00383A88" w:rsidP="00383A88">
            <w:pPr>
              <w:rPr>
                <w:rFonts w:eastAsia="Arial Unicode MS"/>
                <w:sz w:val="22"/>
              </w:rPr>
            </w:pPr>
            <w:r w:rsidRPr="00527092">
              <w:rPr>
                <w:sz w:val="22"/>
              </w:rPr>
              <w:t>средства бюджета 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</w:pPr>
            <w:r w:rsidRPr="000F401B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69,2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462,9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282,2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41013" w:rsidRDefault="00383A88" w:rsidP="00383A88">
            <w:pPr>
              <w:jc w:val="right"/>
              <w:rPr>
                <w:sz w:val="22"/>
                <w:szCs w:val="22"/>
              </w:rPr>
            </w:pPr>
            <w:r w:rsidRPr="00741013">
              <w:rPr>
                <w:sz w:val="22"/>
                <w:szCs w:val="22"/>
              </w:rPr>
              <w:t>0,0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527092" w:rsidRDefault="00383A88" w:rsidP="00383A88">
            <w:pPr>
              <w:rPr>
                <w:rFonts w:eastAsia="Arial Unicode MS"/>
                <w:sz w:val="22"/>
              </w:rPr>
            </w:pPr>
            <w:r w:rsidRPr="00527092">
              <w:rPr>
                <w:sz w:val="22"/>
              </w:rPr>
              <w:t>средства муниципального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</w:pPr>
            <w:r w:rsidRPr="000F401B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67,7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1,4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13C38" w:rsidRDefault="00383A88" w:rsidP="00383A88">
            <w:pPr>
              <w:jc w:val="right"/>
              <w:rPr>
                <w:sz w:val="22"/>
                <w:szCs w:val="22"/>
              </w:rPr>
            </w:pPr>
            <w:r w:rsidRPr="00B13C38">
              <w:rPr>
                <w:sz w:val="22"/>
                <w:szCs w:val="22"/>
              </w:rPr>
              <w:t>0,0</w:t>
            </w:r>
          </w:p>
        </w:tc>
      </w:tr>
      <w:tr w:rsidR="00383A88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B4230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 w:rsidRPr="009B4230">
              <w:rPr>
                <w:b/>
                <w:bCs/>
                <w:sz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</w:pPr>
            <w:r w:rsidRPr="000F401B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5 126,9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3 446,3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3 597,9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3 584,2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3 741,9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3 891,5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b/>
                <w:bCs/>
                <w:sz w:val="22"/>
                <w:szCs w:val="22"/>
              </w:rPr>
            </w:pPr>
            <w:r w:rsidRPr="00536A7C">
              <w:rPr>
                <w:b/>
                <w:bCs/>
                <w:sz w:val="22"/>
                <w:szCs w:val="22"/>
              </w:rPr>
              <w:t>3 876,6</w:t>
            </w:r>
          </w:p>
        </w:tc>
      </w:tr>
      <w:tr w:rsidR="00383A88" w:rsidTr="00383A88">
        <w:trPr>
          <w:trHeight w:val="4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B4230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 w:rsidRPr="009B4230">
              <w:rPr>
                <w:b/>
                <w:bCs/>
                <w:sz w:val="22"/>
              </w:rPr>
              <w:t>7. Труд и занятость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</w:tr>
      <w:tr w:rsidR="00383A88" w:rsidTr="00383A88">
        <w:trPr>
          <w:trHeight w:val="35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  <w:szCs w:val="16"/>
              </w:rPr>
            </w:pPr>
            <w:r w:rsidRPr="00C14FD4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B4230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9B4230">
              <w:rPr>
                <w:bCs/>
                <w:sz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bCs/>
              </w:rPr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19,754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19,110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18,057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17,493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16,956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16,976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7A37BA" w:rsidRDefault="00383A88" w:rsidP="00383A88">
            <w:pPr>
              <w:rPr>
                <w:rFonts w:eastAsia="Arial Unicode MS"/>
                <w:bCs/>
                <w:sz w:val="22"/>
              </w:rPr>
            </w:pPr>
            <w:r w:rsidRPr="007A37BA">
              <w:rPr>
                <w:bCs/>
                <w:sz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Cs/>
              </w:rPr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0,216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0,102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bCs/>
              </w:rPr>
            </w:pPr>
            <w:r w:rsidRPr="00017CBF">
              <w:rPr>
                <w:bCs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A6ADE" w:rsidRDefault="00383A88" w:rsidP="00383A88">
            <w:pPr>
              <w:jc w:val="right"/>
              <w:rPr>
                <w:sz w:val="22"/>
                <w:szCs w:val="22"/>
              </w:rPr>
            </w:pPr>
            <w:r w:rsidRPr="00BA6ADE">
              <w:rPr>
                <w:sz w:val="22"/>
                <w:szCs w:val="22"/>
              </w:rPr>
              <w:t>0,6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</w:pPr>
            <w:r w:rsidRPr="00017CBF">
              <w:t>тыс.</w:t>
            </w:r>
            <w:r>
              <w:t xml:space="preserve"> </w:t>
            </w:r>
            <w:r w:rsidRPr="00017CBF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10,175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10,042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9,438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9,159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8,942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8,948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8,754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8,764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833EE0" w:rsidRDefault="00383A88" w:rsidP="00383A88">
            <w:pPr>
              <w:rPr>
                <w:b/>
                <w:bCs/>
                <w:sz w:val="22"/>
              </w:rPr>
            </w:pPr>
            <w:r w:rsidRPr="00833EE0">
              <w:rPr>
                <w:sz w:val="22"/>
              </w:rPr>
              <w:t>Среднемесячная начисленная заработная плата работник</w:t>
            </w:r>
            <w:r>
              <w:rPr>
                <w:sz w:val="22"/>
              </w:rPr>
              <w:t xml:space="preserve">ов </w:t>
            </w:r>
            <w:r w:rsidRPr="00D7654D">
              <w:rPr>
                <w:sz w:val="22"/>
              </w:rPr>
              <w:t>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bCs/>
              </w:rPr>
            </w:pPr>
            <w:r w:rsidRPr="00833EE0">
              <w:t xml:space="preserve">рублей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91 005,6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95 351,3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106 900,0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114 200,0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115 200,0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121 400,0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123 400,0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128 400,0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132 300,0</w:t>
            </w:r>
          </w:p>
        </w:tc>
      </w:tr>
      <w:tr w:rsidR="00383A88" w:rsidTr="00383A88">
        <w:trPr>
          <w:trHeight w:val="2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383A88" w:rsidRDefault="00383A88" w:rsidP="00383A88">
            <w:pPr>
              <w:pStyle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A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 Развитие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b/>
                <w:bCs/>
                <w:color w:val="FF0000"/>
                <w:sz w:val="22"/>
              </w:rPr>
            </w:pPr>
          </w:p>
        </w:tc>
      </w:tr>
      <w:tr w:rsidR="00383A88" w:rsidTr="00383A88">
        <w:trPr>
          <w:trHeight w:val="6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47034" w:rsidRDefault="00383A88" w:rsidP="00383A88">
            <w:pPr>
              <w:rPr>
                <w:rFonts w:eastAsia="Arial Unicode MS"/>
                <w:sz w:val="22"/>
              </w:rPr>
            </w:pPr>
            <w:r w:rsidRPr="00947034">
              <w:rPr>
                <w:bCs/>
                <w:sz w:val="22"/>
              </w:rPr>
              <w:t>Численность детей в дошкольных</w:t>
            </w:r>
            <w:r w:rsidRPr="00947034">
              <w:rPr>
                <w:sz w:val="22"/>
              </w:rPr>
              <w:t xml:space="preserve"> </w:t>
            </w:r>
            <w:r w:rsidRPr="00947034">
              <w:rPr>
                <w:bCs/>
                <w:sz w:val="22"/>
              </w:rPr>
              <w:t>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2 050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1 848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1 860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1 860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2 000</w:t>
            </w:r>
          </w:p>
        </w:tc>
      </w:tr>
      <w:tr w:rsidR="00383A88" w:rsidTr="00383A88">
        <w:trPr>
          <w:trHeight w:val="5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47034" w:rsidRDefault="00383A88" w:rsidP="00383A88">
            <w:pPr>
              <w:rPr>
                <w:rFonts w:eastAsia="Arial Unicode MS"/>
                <w:bCs/>
                <w:sz w:val="22"/>
              </w:rPr>
            </w:pPr>
            <w:r w:rsidRPr="00947034">
              <w:rPr>
                <w:bCs/>
                <w:sz w:val="22"/>
              </w:rPr>
              <w:t>Численность учащихся в учреждениях: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4 198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4 064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4 042</w:t>
            </w:r>
          </w:p>
        </w:tc>
      </w:tr>
      <w:tr w:rsidR="00383A88" w:rsidTr="00383A88">
        <w:trPr>
          <w:trHeight w:val="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175</w:t>
            </w:r>
          </w:p>
        </w:tc>
      </w:tr>
      <w:tr w:rsidR="00383A88" w:rsidTr="00383A88">
        <w:trPr>
          <w:trHeight w:val="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0</w:t>
            </w:r>
          </w:p>
        </w:tc>
      </w:tr>
      <w:tr w:rsidR="00383A88" w:rsidTr="00383A88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Обеспеченность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</w:p>
        </w:tc>
      </w:tr>
      <w:tr w:rsidR="00383A88" w:rsidTr="00383A88">
        <w:trPr>
          <w:trHeight w:val="5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общедоступными библиотеками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</w:pPr>
            <w:r w:rsidRPr="00017CBF">
              <w:t xml:space="preserve">учреждений </w:t>
            </w:r>
            <w:proofErr w:type="gramStart"/>
            <w:r w:rsidRPr="00017CBF">
              <w:t>на</w:t>
            </w:r>
            <w:proofErr w:type="gramEnd"/>
          </w:p>
          <w:p w:rsidR="00383A88" w:rsidRPr="00017CBF" w:rsidRDefault="00383A88" w:rsidP="00383A88">
            <w:pPr>
              <w:jc w:val="center"/>
            </w:pPr>
            <w:r w:rsidRPr="00017CBF">
              <w:t>100 тыс.</w:t>
            </w:r>
            <w:r>
              <w:t xml:space="preserve"> </w:t>
            </w:r>
            <w:r w:rsidRPr="00017CBF">
              <w:t>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35,4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37,5</w:t>
            </w:r>
          </w:p>
        </w:tc>
      </w:tr>
      <w:tr w:rsidR="00383A88" w:rsidRPr="00F71FF9" w:rsidTr="00383A88">
        <w:trPr>
          <w:trHeight w:val="39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D22F43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D22F43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</w:pPr>
            <w:r w:rsidRPr="00017CBF">
              <w:t xml:space="preserve">учреждений </w:t>
            </w:r>
            <w:proofErr w:type="gramStart"/>
            <w:r w:rsidRPr="00017CBF">
              <w:t>на</w:t>
            </w:r>
            <w:proofErr w:type="gramEnd"/>
          </w:p>
          <w:p w:rsidR="00383A88" w:rsidRPr="00017CBF" w:rsidRDefault="00383A88" w:rsidP="00383A88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t>100 тыс.</w:t>
            </w:r>
            <w:r>
              <w:t xml:space="preserve"> </w:t>
            </w:r>
            <w:r w:rsidRPr="00017CBF">
              <w:t>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17,7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7F0B4D" w:rsidRDefault="00383A88" w:rsidP="00383A88">
            <w:pPr>
              <w:jc w:val="right"/>
              <w:rPr>
                <w:sz w:val="22"/>
                <w:szCs w:val="22"/>
              </w:rPr>
            </w:pPr>
            <w:r w:rsidRPr="007F0B4D">
              <w:rPr>
                <w:sz w:val="22"/>
                <w:szCs w:val="22"/>
              </w:rPr>
              <w:t>18,8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sz w:val="22"/>
              </w:rPr>
            </w:pPr>
            <w:r>
              <w:rPr>
                <w:sz w:val="22"/>
              </w:rPr>
              <w:t>дошкольными образовательными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017CBF" w:rsidRDefault="00383A88" w:rsidP="00383A88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t>мест на 100 детей дошкольного возраста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115,1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536A7C" w:rsidRDefault="00383A88" w:rsidP="00383A88">
            <w:pPr>
              <w:jc w:val="right"/>
              <w:rPr>
                <w:sz w:val="22"/>
                <w:szCs w:val="22"/>
              </w:rPr>
            </w:pPr>
            <w:r w:rsidRPr="00536A7C">
              <w:rPr>
                <w:sz w:val="22"/>
                <w:szCs w:val="22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128,9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133,2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137,3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241416" w:rsidRDefault="00383A88" w:rsidP="00383A88">
            <w:pPr>
              <w:jc w:val="right"/>
              <w:rPr>
                <w:sz w:val="22"/>
                <w:szCs w:val="22"/>
              </w:rPr>
            </w:pPr>
            <w:r w:rsidRPr="00241416">
              <w:rPr>
                <w:sz w:val="22"/>
                <w:szCs w:val="22"/>
              </w:rPr>
              <w:t>136,9</w:t>
            </w:r>
          </w:p>
        </w:tc>
      </w:tr>
      <w:tr w:rsidR="00383A88" w:rsidRPr="00F71FF9" w:rsidTr="00910CB5">
        <w:trPr>
          <w:trHeight w:val="18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00D09" w:rsidRDefault="00383A88" w:rsidP="00383A88">
            <w:pPr>
              <w:rPr>
                <w:bCs/>
                <w:sz w:val="22"/>
              </w:rPr>
            </w:pPr>
            <w:r w:rsidRPr="00100D09">
              <w:rPr>
                <w:sz w:val="22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100D09">
              <w:rPr>
                <w:sz w:val="22"/>
                <w:szCs w:val="24"/>
              </w:rPr>
              <w:t>численности</w:t>
            </w:r>
            <w:proofErr w:type="gramEnd"/>
            <w:r w:rsidRPr="00100D09">
              <w:rPr>
                <w:sz w:val="22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100D09" w:rsidRDefault="00383A88" w:rsidP="00383A88">
            <w:pPr>
              <w:jc w:val="center"/>
            </w:pPr>
          </w:p>
          <w:p w:rsidR="00383A88" w:rsidRPr="00100D09" w:rsidRDefault="00383A88" w:rsidP="00383A88">
            <w:pPr>
              <w:jc w:val="center"/>
            </w:pPr>
            <w:r w:rsidRPr="00100D09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89,1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94,9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00D09" w:rsidRDefault="00383A88" w:rsidP="00383A88">
            <w:pPr>
              <w:rPr>
                <w:sz w:val="22"/>
                <w:szCs w:val="24"/>
              </w:rPr>
            </w:pPr>
            <w:r w:rsidRPr="00100D09">
              <w:rPr>
                <w:sz w:val="22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100D09" w:rsidRDefault="00383A88" w:rsidP="00383A8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47,0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68,6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71,6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4752" w:rsidRDefault="00383A88" w:rsidP="00383A88">
            <w:pPr>
              <w:rPr>
                <w:bCs/>
                <w:sz w:val="22"/>
              </w:rPr>
            </w:pPr>
            <w:r w:rsidRPr="00464752">
              <w:rPr>
                <w:bCs/>
                <w:sz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4752" w:rsidRDefault="00383A88" w:rsidP="00383A88">
            <w:pPr>
              <w:jc w:val="center"/>
            </w:pPr>
            <w:r w:rsidRPr="00464752">
              <w:t>тыс.</w:t>
            </w:r>
            <w:r>
              <w:t xml:space="preserve"> </w:t>
            </w:r>
            <w:r w:rsidRPr="00464752">
              <w:t>кв.</w:t>
            </w:r>
            <w:r>
              <w:t xml:space="preserve"> </w:t>
            </w:r>
            <w:r w:rsidRPr="00464752">
              <w:t>м общей площади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0,265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0,406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0,18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0,18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3,97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0,18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24AD0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rFonts w:hint="eastAsia"/>
                <w:sz w:val="22"/>
              </w:rPr>
            </w:pPr>
            <w:r w:rsidRPr="00924AD0">
              <w:rPr>
                <w:sz w:val="22"/>
              </w:rPr>
              <w:t>Количество выданных разрешений на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924AD0" w:rsidRDefault="00383A88" w:rsidP="00383A88">
            <w:pPr>
              <w:jc w:val="center"/>
              <w:rPr>
                <w:bCs/>
              </w:rPr>
            </w:pPr>
            <w:r w:rsidRPr="00924AD0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</w:tr>
      <w:tr w:rsidR="00383A88" w:rsidRPr="00F71FF9" w:rsidTr="00910CB5">
        <w:trPr>
          <w:trHeight w:val="8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924AD0" w:rsidRDefault="00383A88" w:rsidP="00383A88">
            <w:pPr>
              <w:pStyle w:val="aa"/>
              <w:tabs>
                <w:tab w:val="left" w:pos="708"/>
              </w:tabs>
              <w:rPr>
                <w:sz w:val="22"/>
              </w:rPr>
            </w:pPr>
            <w:r w:rsidRPr="00924AD0">
              <w:rPr>
                <w:sz w:val="22"/>
              </w:rPr>
              <w:t xml:space="preserve">Количество выданных разрешений на ввод объектов </w:t>
            </w:r>
            <w:proofErr w:type="gramStart"/>
            <w:r w:rsidRPr="00924AD0">
              <w:rPr>
                <w:sz w:val="22"/>
              </w:rPr>
              <w:t>в</w:t>
            </w:r>
            <w:proofErr w:type="gramEnd"/>
          </w:p>
          <w:p w:rsidR="00383A88" w:rsidRPr="00924AD0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rFonts w:hint="eastAsia"/>
                <w:sz w:val="22"/>
              </w:rPr>
            </w:pPr>
            <w:r w:rsidRPr="00924AD0">
              <w:rPr>
                <w:sz w:val="22"/>
              </w:rPr>
              <w:t>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924AD0" w:rsidRDefault="00383A88" w:rsidP="00383A88">
            <w:pPr>
              <w:jc w:val="center"/>
              <w:rPr>
                <w:bCs/>
              </w:rPr>
            </w:pPr>
            <w:r w:rsidRPr="00924AD0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</w:t>
            </w:r>
          </w:p>
        </w:tc>
      </w:tr>
      <w:tr w:rsidR="00383A88" w:rsidRPr="00F71FF9" w:rsidTr="00383A88">
        <w:trPr>
          <w:trHeight w:val="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1B25FD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Площадь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земельных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участков</w:t>
            </w:r>
            <w:r w:rsidRPr="001B25FD">
              <w:rPr>
                <w:sz w:val="22"/>
              </w:rPr>
              <w:t xml:space="preserve">, </w:t>
            </w:r>
            <w:r w:rsidRPr="001B25FD">
              <w:rPr>
                <w:rFonts w:hint="eastAsia"/>
                <w:sz w:val="22"/>
              </w:rPr>
              <w:t>предоставленных</w:t>
            </w:r>
            <w:r w:rsidRPr="001B25FD">
              <w:rPr>
                <w:sz w:val="22"/>
              </w:rPr>
              <w:t xml:space="preserve"> </w:t>
            </w:r>
            <w:proofErr w:type="gramStart"/>
            <w:r w:rsidRPr="001B25FD">
              <w:rPr>
                <w:rFonts w:hint="eastAsia"/>
                <w:sz w:val="22"/>
              </w:rPr>
              <w:t>для</w:t>
            </w:r>
            <w:proofErr w:type="gramEnd"/>
          </w:p>
          <w:p w:rsidR="00383A88" w:rsidRPr="001B25FD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жилищного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строительства</w:t>
            </w:r>
            <w:r w:rsidRPr="001B25FD">
              <w:rPr>
                <w:sz w:val="22"/>
              </w:rPr>
              <w:t xml:space="preserve">, </w:t>
            </w:r>
            <w:r w:rsidRPr="001B25FD">
              <w:rPr>
                <w:rFonts w:hint="eastAsia"/>
                <w:sz w:val="22"/>
              </w:rPr>
              <w:t>индивидуального</w:t>
            </w:r>
          </w:p>
          <w:p w:rsidR="00383A88" w:rsidRPr="001B25FD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жилищного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строительства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и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комплексного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освоения</w:t>
            </w:r>
            <w:r w:rsidRPr="001B25FD">
              <w:rPr>
                <w:sz w:val="22"/>
              </w:rPr>
              <w:t xml:space="preserve"> </w:t>
            </w:r>
            <w:proofErr w:type="gramStart"/>
            <w:r w:rsidRPr="001B25FD">
              <w:rPr>
                <w:rFonts w:hint="eastAsia"/>
                <w:sz w:val="22"/>
              </w:rPr>
              <w:t>в</w:t>
            </w:r>
            <w:proofErr w:type="gramEnd"/>
          </w:p>
          <w:p w:rsidR="00383A88" w:rsidRPr="001B25FD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gramStart"/>
            <w:r w:rsidRPr="001B25FD">
              <w:rPr>
                <w:rFonts w:hint="eastAsia"/>
                <w:sz w:val="22"/>
              </w:rPr>
              <w:t>целях</w:t>
            </w:r>
            <w:proofErr w:type="gramEnd"/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жилищного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строительства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в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расчете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на</w:t>
            </w:r>
            <w:r w:rsidRPr="001B25FD">
              <w:rPr>
                <w:sz w:val="22"/>
              </w:rPr>
              <w:t xml:space="preserve"> 10 </w:t>
            </w:r>
            <w:r w:rsidRPr="001B25FD">
              <w:rPr>
                <w:rFonts w:hint="eastAsia"/>
                <w:sz w:val="22"/>
              </w:rPr>
              <w:t>тысяч</w:t>
            </w:r>
          </w:p>
          <w:p w:rsidR="00383A88" w:rsidRPr="001B25FD" w:rsidRDefault="00383A88" w:rsidP="00383A88">
            <w:pPr>
              <w:pStyle w:val="aa"/>
              <w:tabs>
                <w:tab w:val="clear" w:pos="4677"/>
                <w:tab w:val="clear" w:pos="9355"/>
              </w:tabs>
              <w:rPr>
                <w:rFonts w:hint="eastAsia"/>
                <w:sz w:val="22"/>
              </w:rPr>
            </w:pPr>
            <w:r w:rsidRPr="001B25FD">
              <w:rPr>
                <w:rFonts w:hint="eastAsia"/>
                <w:sz w:val="22"/>
              </w:rPr>
              <w:t>человек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1B25FD" w:rsidRDefault="00383A88" w:rsidP="00383A88">
            <w:pPr>
              <w:jc w:val="center"/>
              <w:rPr>
                <w:bCs/>
              </w:rPr>
            </w:pPr>
          </w:p>
          <w:p w:rsidR="00383A88" w:rsidRPr="001B25FD" w:rsidRDefault="00383A88" w:rsidP="00383A88">
            <w:pPr>
              <w:jc w:val="center"/>
              <w:rPr>
                <w:bCs/>
              </w:rPr>
            </w:pPr>
          </w:p>
          <w:p w:rsidR="00383A88" w:rsidRPr="001B25FD" w:rsidRDefault="00383A88" w:rsidP="00383A88">
            <w:pPr>
              <w:jc w:val="center"/>
              <w:rPr>
                <w:bCs/>
              </w:rPr>
            </w:pPr>
            <w:r w:rsidRPr="001B25FD">
              <w:rPr>
                <w:bCs/>
              </w:rPr>
              <w:t>га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D22F43" w:rsidRDefault="00383A88" w:rsidP="00383A88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2,19</w:t>
            </w:r>
          </w:p>
        </w:tc>
      </w:tr>
      <w:tr w:rsidR="00383A88" w:rsidRPr="00464752" w:rsidTr="00383A88">
        <w:trPr>
          <w:trHeight w:val="2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B65805" w:rsidRDefault="00383A88" w:rsidP="00383A88">
            <w:pPr>
              <w:jc w:val="center"/>
              <w:rPr>
                <w:rFonts w:eastAsia="Arial Unicode MS"/>
                <w:color w:val="FF0000"/>
                <w:sz w:val="22"/>
              </w:rPr>
            </w:pPr>
            <w:r w:rsidRPr="00C14FD4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D22F43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961E6F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RPr="00464752" w:rsidTr="00383A88">
        <w:trPr>
          <w:trHeight w:val="848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D22F43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961E6F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961E6F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RPr="00464752" w:rsidTr="00383A88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RPr="00464752" w:rsidTr="00383A88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910CB5" w:rsidRPr="00464752" w:rsidTr="00910CB5">
        <w:trPr>
          <w:trHeight w:val="13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Pr="00924AD0" w:rsidRDefault="00910CB5" w:rsidP="00910CB5">
            <w:pPr>
              <w:rPr>
                <w:sz w:val="22"/>
              </w:rPr>
            </w:pPr>
            <w:r w:rsidRPr="00924AD0">
              <w:rPr>
                <w:rFonts w:hint="eastAsia"/>
                <w:sz w:val="22"/>
              </w:rPr>
              <w:t>Введено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в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действие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индивидуальных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жилых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домов</w:t>
            </w:r>
            <w:r w:rsidRPr="00924AD0">
              <w:rPr>
                <w:sz w:val="22"/>
              </w:rPr>
              <w:t xml:space="preserve"> </w:t>
            </w:r>
            <w:proofErr w:type="gramStart"/>
            <w:r w:rsidRPr="00924AD0">
              <w:rPr>
                <w:rFonts w:hint="eastAsia"/>
                <w:sz w:val="22"/>
              </w:rPr>
              <w:t>на</w:t>
            </w:r>
            <w:proofErr w:type="gramEnd"/>
          </w:p>
          <w:p w:rsidR="00910CB5" w:rsidRPr="00924AD0" w:rsidRDefault="00910CB5" w:rsidP="00910CB5">
            <w:pPr>
              <w:rPr>
                <w:sz w:val="22"/>
              </w:rPr>
            </w:pPr>
            <w:r w:rsidRPr="00924AD0">
              <w:rPr>
                <w:rFonts w:hint="eastAsia"/>
                <w:sz w:val="22"/>
              </w:rPr>
              <w:t>территории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муниципального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образования</w:t>
            </w:r>
            <w:r w:rsidRPr="00924AD0">
              <w:rPr>
                <w:sz w:val="22"/>
              </w:rPr>
              <w:t xml:space="preserve">, </w:t>
            </w:r>
            <w:r w:rsidRPr="00924AD0">
              <w:rPr>
                <w:rFonts w:hint="eastAsia"/>
                <w:sz w:val="22"/>
              </w:rPr>
              <w:t>кв</w:t>
            </w:r>
            <w:r w:rsidRPr="00924AD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м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общей</w:t>
            </w:r>
          </w:p>
          <w:p w:rsidR="00910CB5" w:rsidRPr="002E56C1" w:rsidRDefault="00910CB5" w:rsidP="00910CB5">
            <w:pPr>
              <w:rPr>
                <w:bCs/>
                <w:sz w:val="22"/>
                <w:lang w:val="en-US"/>
              </w:rPr>
            </w:pPr>
            <w:r w:rsidRPr="00924AD0">
              <w:rPr>
                <w:rFonts w:hint="eastAsia"/>
                <w:sz w:val="22"/>
              </w:rPr>
              <w:t>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924AD0" w:rsidRDefault="00910CB5" w:rsidP="00910CB5">
            <w:pPr>
              <w:jc w:val="center"/>
            </w:pPr>
            <w:r w:rsidRPr="00924AD0">
              <w:t>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265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D22F43" w:rsidRDefault="00910CB5" w:rsidP="00910CB5">
            <w:pPr>
              <w:jc w:val="right"/>
              <w:rPr>
                <w:sz w:val="22"/>
                <w:szCs w:val="22"/>
              </w:rPr>
            </w:pPr>
            <w:r w:rsidRPr="00D22F43">
              <w:rPr>
                <w:sz w:val="22"/>
                <w:szCs w:val="22"/>
              </w:rPr>
              <w:t>180</w:t>
            </w:r>
          </w:p>
        </w:tc>
      </w:tr>
      <w:tr w:rsidR="00910CB5" w:rsidRPr="00464752" w:rsidTr="00910CB5">
        <w:trPr>
          <w:trHeight w:val="5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Pr="00464752" w:rsidRDefault="00910CB5" w:rsidP="00910CB5">
            <w:pPr>
              <w:rPr>
                <w:sz w:val="22"/>
              </w:rPr>
            </w:pPr>
            <w:r w:rsidRPr="00464752"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464752" w:rsidRDefault="00910CB5" w:rsidP="00910CB5">
            <w:pPr>
              <w:jc w:val="center"/>
            </w:pPr>
            <w:r w:rsidRPr="00464752">
              <w:t>кв.</w:t>
            </w:r>
            <w:r>
              <w:t xml:space="preserve"> </w:t>
            </w:r>
            <w:r w:rsidRPr="00464752">
              <w:t>м на человека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28,1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30,1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85684" w:rsidRDefault="00910CB5" w:rsidP="00910CB5">
            <w:pPr>
              <w:jc w:val="right"/>
              <w:rPr>
                <w:sz w:val="22"/>
                <w:szCs w:val="22"/>
              </w:rPr>
            </w:pPr>
            <w:r w:rsidRPr="00585684">
              <w:rPr>
                <w:sz w:val="22"/>
                <w:szCs w:val="22"/>
              </w:rPr>
              <w:t>30,0</w:t>
            </w:r>
          </w:p>
        </w:tc>
      </w:tr>
      <w:tr w:rsidR="00910CB5" w:rsidRPr="00464752" w:rsidTr="00910CB5">
        <w:trPr>
          <w:trHeight w:val="3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Pr="00924AD0" w:rsidRDefault="00910CB5" w:rsidP="00910CB5">
            <w:pPr>
              <w:rPr>
                <w:sz w:val="22"/>
              </w:rPr>
            </w:pPr>
            <w:r w:rsidRPr="00924AD0">
              <w:rPr>
                <w:rFonts w:hint="eastAsia"/>
                <w:sz w:val="22"/>
              </w:rPr>
              <w:t>Общая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площадь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жилых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924AD0" w:rsidRDefault="00910CB5" w:rsidP="00910CB5">
            <w:pPr>
              <w:jc w:val="center"/>
            </w:pPr>
            <w:r w:rsidRPr="00924AD0">
              <w:t>тыс. 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797,9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783,1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787,2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 w:rsidRPr="007E215B">
              <w:rPr>
                <w:sz w:val="22"/>
                <w:szCs w:val="22"/>
              </w:rPr>
              <w:t>787,2</w:t>
            </w:r>
          </w:p>
        </w:tc>
      </w:tr>
      <w:tr w:rsidR="00910CB5" w:rsidRPr="00464752" w:rsidTr="00910CB5">
        <w:trPr>
          <w:trHeight w:val="5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Pr="00924AD0" w:rsidRDefault="00910CB5" w:rsidP="00910CB5">
            <w:pPr>
              <w:rPr>
                <w:sz w:val="22"/>
              </w:rPr>
            </w:pPr>
            <w:r w:rsidRPr="00924AD0">
              <w:rPr>
                <w:sz w:val="22"/>
              </w:rPr>
              <w:t xml:space="preserve">Площадь аварийного фонда </w:t>
            </w:r>
            <w:proofErr w:type="gramStart"/>
            <w:r w:rsidRPr="00924AD0">
              <w:rPr>
                <w:sz w:val="22"/>
              </w:rPr>
              <w:t>в</w:t>
            </w:r>
            <w:proofErr w:type="gramEnd"/>
            <w:r w:rsidRPr="00924AD0">
              <w:rPr>
                <w:sz w:val="22"/>
              </w:rPr>
              <w:t xml:space="preserve"> % к общей площади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464752" w:rsidRDefault="00910CB5" w:rsidP="00910CB5">
            <w:pPr>
              <w:jc w:val="center"/>
            </w:pPr>
            <w:r w:rsidRPr="0046475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7E215B" w:rsidRDefault="00910CB5" w:rsidP="00910C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383A88" w:rsidRPr="00464752" w:rsidTr="00910CB5">
        <w:trPr>
          <w:trHeight w:val="22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Доля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населения</w:t>
            </w:r>
            <w:r w:rsidRPr="004608BB">
              <w:rPr>
                <w:sz w:val="22"/>
              </w:rPr>
              <w:t xml:space="preserve">, </w:t>
            </w:r>
            <w:r w:rsidRPr="004608BB">
              <w:rPr>
                <w:rFonts w:hint="eastAsia"/>
                <w:sz w:val="22"/>
              </w:rPr>
              <w:t>проживающего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в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населенных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пунктах</w:t>
            </w:r>
            <w:r w:rsidRPr="004608BB">
              <w:rPr>
                <w:sz w:val="22"/>
              </w:rPr>
              <w:t>,</w:t>
            </w:r>
          </w:p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не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имеющих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регулярного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автобусного</w:t>
            </w:r>
          </w:p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sz w:val="22"/>
              </w:rPr>
              <w:t>(</w:t>
            </w:r>
            <w:r w:rsidRPr="004608BB">
              <w:rPr>
                <w:rFonts w:hint="eastAsia"/>
                <w:sz w:val="22"/>
              </w:rPr>
              <w:t>железнодорожного</w:t>
            </w:r>
            <w:r w:rsidRPr="004608BB">
              <w:rPr>
                <w:sz w:val="22"/>
              </w:rPr>
              <w:t xml:space="preserve">) </w:t>
            </w:r>
            <w:r w:rsidRPr="004608BB">
              <w:rPr>
                <w:rFonts w:hint="eastAsia"/>
                <w:sz w:val="22"/>
              </w:rPr>
              <w:t>сообщения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с</w:t>
            </w:r>
            <w:r w:rsidRPr="004608BB">
              <w:rPr>
                <w:sz w:val="22"/>
              </w:rPr>
              <w:t xml:space="preserve"> </w:t>
            </w:r>
            <w:proofErr w:type="gramStart"/>
            <w:r w:rsidRPr="004608BB">
              <w:rPr>
                <w:rFonts w:hint="eastAsia"/>
                <w:sz w:val="22"/>
              </w:rPr>
              <w:t>административным</w:t>
            </w:r>
            <w:proofErr w:type="gramEnd"/>
          </w:p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центром</w:t>
            </w:r>
            <w:r w:rsidRPr="004608BB">
              <w:rPr>
                <w:sz w:val="22"/>
              </w:rPr>
              <w:t xml:space="preserve"> муниципал</w:t>
            </w:r>
            <w:proofErr w:type="gramStart"/>
            <w:r w:rsidRPr="004608BB">
              <w:rPr>
                <w:sz w:val="22"/>
              </w:rPr>
              <w:t>.</w:t>
            </w:r>
            <w:proofErr w:type="gramEnd"/>
            <w:r w:rsidRPr="004608BB">
              <w:rPr>
                <w:sz w:val="22"/>
              </w:rPr>
              <w:t xml:space="preserve"> </w:t>
            </w:r>
            <w:proofErr w:type="gramStart"/>
            <w:r w:rsidRPr="004608BB">
              <w:rPr>
                <w:rFonts w:hint="eastAsia"/>
                <w:sz w:val="22"/>
              </w:rPr>
              <w:t>о</w:t>
            </w:r>
            <w:proofErr w:type="gramEnd"/>
            <w:r w:rsidRPr="004608BB">
              <w:rPr>
                <w:rFonts w:hint="eastAsia"/>
                <w:sz w:val="22"/>
              </w:rPr>
              <w:t>круга</w:t>
            </w:r>
            <w:r w:rsidRPr="004608BB">
              <w:rPr>
                <w:sz w:val="22"/>
              </w:rPr>
              <w:t xml:space="preserve">, </w:t>
            </w:r>
            <w:r w:rsidRPr="004608BB">
              <w:rPr>
                <w:rFonts w:hint="eastAsia"/>
                <w:sz w:val="22"/>
              </w:rPr>
              <w:t>в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общей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численности</w:t>
            </w:r>
          </w:p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населения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муниципального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08BB" w:rsidRDefault="00383A88" w:rsidP="00383A88">
            <w:pPr>
              <w:jc w:val="center"/>
              <w:rPr>
                <w:sz w:val="22"/>
              </w:rPr>
            </w:pPr>
            <w:r w:rsidRPr="004608BB">
              <w:rPr>
                <w:sz w:val="22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0,3</w:t>
            </w:r>
          </w:p>
        </w:tc>
      </w:tr>
      <w:tr w:rsidR="00383A88" w:rsidRPr="00464752" w:rsidTr="00910CB5">
        <w:trPr>
          <w:trHeight w:val="7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Протяженность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автодорог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общего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пользования</w:t>
            </w:r>
          </w:p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местного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08BB" w:rsidRDefault="00383A88" w:rsidP="00383A88">
            <w:pPr>
              <w:jc w:val="center"/>
              <w:rPr>
                <w:sz w:val="22"/>
              </w:rPr>
            </w:pPr>
            <w:r w:rsidRPr="004608BB"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76,4</w:t>
            </w:r>
          </w:p>
        </w:tc>
      </w:tr>
      <w:tr w:rsidR="00383A88" w:rsidRPr="00464752" w:rsidTr="00383A88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из</w:t>
            </w:r>
            <w:r w:rsidRPr="004608BB">
              <w:rPr>
                <w:sz w:val="22"/>
              </w:rPr>
              <w:t xml:space="preserve">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08BB" w:rsidRDefault="00383A88" w:rsidP="00383A8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B65805" w:rsidRDefault="00383A88" w:rsidP="00383A88">
            <w:pPr>
              <w:rPr>
                <w:color w:val="FF0000"/>
                <w:sz w:val="22"/>
                <w:szCs w:val="22"/>
              </w:rPr>
            </w:pPr>
            <w:r w:rsidRPr="00B65805">
              <w:rPr>
                <w:color w:val="FF0000"/>
                <w:sz w:val="22"/>
                <w:szCs w:val="22"/>
              </w:rPr>
              <w:t> </w:t>
            </w:r>
          </w:p>
        </w:tc>
      </w:tr>
      <w:tr w:rsidR="00383A88" w:rsidRPr="00464752" w:rsidTr="00383A88">
        <w:trPr>
          <w:trHeight w:val="4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с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твердым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08BB" w:rsidRDefault="00383A88" w:rsidP="00383A88">
            <w:pPr>
              <w:jc w:val="center"/>
            </w:pPr>
            <w:r w:rsidRPr="004608BB"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65,3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67,0</w:t>
            </w:r>
          </w:p>
        </w:tc>
      </w:tr>
      <w:tr w:rsidR="00383A88" w:rsidRPr="00464752" w:rsidTr="00383A88">
        <w:trPr>
          <w:trHeight w:val="4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с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усовершенствованным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08BB" w:rsidRDefault="00383A88" w:rsidP="00383A88">
            <w:pPr>
              <w:jc w:val="center"/>
            </w:pPr>
            <w:r w:rsidRPr="004608BB"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61E6F" w:rsidRDefault="00383A88" w:rsidP="00383A88">
            <w:pPr>
              <w:jc w:val="right"/>
              <w:rPr>
                <w:sz w:val="22"/>
                <w:szCs w:val="22"/>
              </w:rPr>
            </w:pPr>
            <w:r w:rsidRPr="00961E6F">
              <w:rPr>
                <w:sz w:val="22"/>
                <w:szCs w:val="22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9A32BD" w:rsidRDefault="00383A88" w:rsidP="00383A88">
            <w:pPr>
              <w:jc w:val="right"/>
              <w:rPr>
                <w:sz w:val="22"/>
                <w:szCs w:val="22"/>
              </w:rPr>
            </w:pPr>
            <w:r w:rsidRPr="009A32BD">
              <w:rPr>
                <w:sz w:val="22"/>
                <w:szCs w:val="22"/>
              </w:rPr>
              <w:t>33,3</w:t>
            </w:r>
          </w:p>
        </w:tc>
      </w:tr>
      <w:tr w:rsidR="00383A88" w:rsidRPr="00464752" w:rsidTr="00383A88">
        <w:trPr>
          <w:trHeight w:val="10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4608BB" w:rsidRDefault="00383A88" w:rsidP="00383A88">
            <w:pPr>
              <w:rPr>
                <w:sz w:val="22"/>
              </w:rPr>
            </w:pPr>
            <w:r w:rsidRPr="004608BB">
              <w:rPr>
                <w:sz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Pr="004608BB" w:rsidRDefault="00383A88" w:rsidP="00383A88">
            <w:pPr>
              <w:jc w:val="center"/>
            </w:pPr>
            <w:r w:rsidRPr="004608BB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88,1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A88" w:rsidRPr="0067328A" w:rsidRDefault="00383A88" w:rsidP="00383A88">
            <w:pPr>
              <w:jc w:val="right"/>
              <w:rPr>
                <w:sz w:val="22"/>
                <w:szCs w:val="22"/>
              </w:rPr>
            </w:pPr>
            <w:r w:rsidRPr="0067328A">
              <w:rPr>
                <w:sz w:val="22"/>
                <w:szCs w:val="22"/>
              </w:rPr>
              <w:t>93,0</w:t>
            </w:r>
          </w:p>
        </w:tc>
      </w:tr>
      <w:tr w:rsidR="00383A88" w:rsidRPr="006E5119" w:rsidTr="00383A88">
        <w:trPr>
          <w:trHeight w:val="2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383A88" w:rsidRPr="00C14FD4" w:rsidRDefault="00383A88" w:rsidP="00383A8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D22F43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961E6F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E7529C" w:rsidRDefault="00383A88" w:rsidP="00383A88">
            <w:pPr>
              <w:jc w:val="center"/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383A88" w:rsidRPr="006E5119" w:rsidTr="00383A88">
        <w:trPr>
          <w:trHeight w:val="42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Pr="00C14FD4" w:rsidRDefault="00383A88" w:rsidP="00383A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1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Pr="00C14FD4" w:rsidRDefault="00383A88" w:rsidP="00383A8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961E6F" w:rsidRDefault="00383A88" w:rsidP="0038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E7529C" w:rsidRDefault="00383A88" w:rsidP="00383A88">
            <w:pPr>
              <w:jc w:val="center"/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E7529C" w:rsidRDefault="00383A88" w:rsidP="00383A88">
            <w:pPr>
              <w:jc w:val="center"/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383A88" w:rsidRPr="006E5119" w:rsidTr="00383A88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Базовый</w:t>
            </w:r>
          </w:p>
        </w:tc>
      </w:tr>
      <w:tr w:rsidR="00383A88" w:rsidRPr="006E5119" w:rsidTr="00383A88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A88" w:rsidRDefault="00383A88" w:rsidP="00383A8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Default="00383A88" w:rsidP="00383A8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88" w:rsidRDefault="00383A88" w:rsidP="00383A8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88" w:rsidRPr="00203B40" w:rsidRDefault="00383A88" w:rsidP="00383A88">
            <w:pPr>
              <w:jc w:val="center"/>
            </w:pPr>
            <w:r w:rsidRPr="00203B40">
              <w:t>2 вариант</w:t>
            </w:r>
          </w:p>
        </w:tc>
      </w:tr>
      <w:tr w:rsidR="00910CB5" w:rsidRPr="006E5119" w:rsidTr="00AF2083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910CB5" w:rsidRDefault="00910CB5" w:rsidP="00910CB5">
            <w:pPr>
              <w:pStyle w:val="5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10CB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403FDB" w:rsidRDefault="00910CB5" w:rsidP="00910CB5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</w:tr>
      <w:tr w:rsidR="00910CB5" w:rsidRPr="006E5119" w:rsidTr="00910CB5">
        <w:trPr>
          <w:trHeight w:val="11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1 074 441,8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1 138 030,2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1 176 805,5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1 154 212,9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1 154 207,3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1 161 257,5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1 161 251,7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1 167 453,0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67328A" w:rsidRDefault="00910CB5" w:rsidP="00910CB5">
            <w:pPr>
              <w:jc w:val="right"/>
            </w:pPr>
            <w:r w:rsidRPr="0067328A">
              <w:t>1 167 447,0</w:t>
            </w:r>
          </w:p>
        </w:tc>
      </w:tr>
      <w:tr w:rsidR="00910CB5" w:rsidRPr="006E5119" w:rsidTr="00AF2083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403FDB" w:rsidRDefault="00910CB5" w:rsidP="00910CB5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</w:tr>
      <w:tr w:rsidR="00910CB5" w:rsidRPr="006E5119" w:rsidTr="00910CB5">
        <w:trPr>
          <w:trHeight w:val="1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</w:t>
            </w:r>
            <w:r>
              <w:t xml:space="preserve"> </w:t>
            </w:r>
            <w:r w:rsidRPr="005E0990">
              <w:t>722,8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2</w:t>
            </w:r>
            <w:r>
              <w:t xml:space="preserve"> </w:t>
            </w:r>
            <w:r w:rsidRPr="005E0990"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3</w:t>
            </w:r>
            <w:r>
              <w:t xml:space="preserve"> </w:t>
            </w:r>
            <w:r w:rsidRPr="005E0990"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4</w:t>
            </w:r>
            <w:r>
              <w:t xml:space="preserve"> </w:t>
            </w:r>
            <w:r w:rsidRPr="005E0990">
              <w:t>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4</w:t>
            </w:r>
            <w:r>
              <w:t xml:space="preserve"> </w:t>
            </w:r>
            <w:r w:rsidRPr="005E0990">
              <w:t>004,0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4</w:t>
            </w:r>
            <w:r>
              <w:t xml:space="preserve"> </w:t>
            </w:r>
            <w:r w:rsidRPr="005E0990">
              <w:t>004,0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4</w:t>
            </w:r>
            <w:r>
              <w:t xml:space="preserve"> </w:t>
            </w:r>
            <w:r w:rsidRPr="005E0990">
              <w:t>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4</w:t>
            </w:r>
            <w:r>
              <w:t xml:space="preserve"> </w:t>
            </w:r>
            <w:r w:rsidRPr="005E0990">
              <w:t>004,0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4</w:t>
            </w:r>
            <w:r>
              <w:t xml:space="preserve"> </w:t>
            </w:r>
            <w:r w:rsidRPr="005E0990">
              <w:t>004,0</w:t>
            </w:r>
          </w:p>
        </w:tc>
      </w:tr>
      <w:tr w:rsidR="00910CB5" w:rsidRPr="006E5119" w:rsidTr="00910CB5">
        <w:trPr>
          <w:trHeight w:val="13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156</w:t>
            </w:r>
            <w:r>
              <w:t xml:space="preserve"> </w:t>
            </w:r>
            <w:r w:rsidRPr="005E0990">
              <w:t>011,5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161</w:t>
            </w:r>
            <w:r>
              <w:t xml:space="preserve"> </w:t>
            </w:r>
            <w:r w:rsidRPr="005E0990">
              <w:t>203,7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162</w:t>
            </w:r>
            <w:r>
              <w:t xml:space="preserve"> </w:t>
            </w:r>
            <w:r w:rsidRPr="005E0990">
              <w:t>052,5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163</w:t>
            </w:r>
            <w:r>
              <w:t xml:space="preserve"> </w:t>
            </w:r>
            <w:r w:rsidRPr="005E0990">
              <w:t>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163</w:t>
            </w:r>
            <w:r>
              <w:t xml:space="preserve"> </w:t>
            </w:r>
            <w:r w:rsidRPr="005E0990">
              <w:t>604,4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163</w:t>
            </w:r>
            <w:r>
              <w:t xml:space="preserve"> </w:t>
            </w:r>
            <w:r w:rsidRPr="005E0990">
              <w:t>604,4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163</w:t>
            </w:r>
            <w:r>
              <w:t xml:space="preserve"> </w:t>
            </w:r>
            <w:r w:rsidRPr="005E0990">
              <w:t>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163</w:t>
            </w:r>
            <w:r>
              <w:t xml:space="preserve"> </w:t>
            </w:r>
            <w:r w:rsidRPr="005E0990">
              <w:t>604,4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5E0990" w:rsidRDefault="00910CB5" w:rsidP="00910CB5">
            <w:pPr>
              <w:jc w:val="right"/>
            </w:pPr>
            <w:r w:rsidRPr="005E0990">
              <w:t>163</w:t>
            </w:r>
            <w:r>
              <w:t xml:space="preserve"> </w:t>
            </w:r>
            <w:r w:rsidRPr="005E0990">
              <w:t>604,4</w:t>
            </w:r>
          </w:p>
        </w:tc>
      </w:tr>
      <w:tr w:rsidR="00910CB5" w:rsidRPr="006E5119" w:rsidTr="00383A88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403FDB" w:rsidRDefault="00910CB5" w:rsidP="00910CB5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</w:tr>
      <w:tr w:rsidR="00910CB5" w:rsidRPr="006E5119" w:rsidTr="00383A88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135 082,9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137 529,6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143 924,8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147 111,2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147 111,2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147 111,2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147 111,2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147 111,2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E7529C" w:rsidRDefault="00910CB5" w:rsidP="00910CB5">
            <w:pPr>
              <w:jc w:val="right"/>
            </w:pPr>
            <w:r w:rsidRPr="00E7529C">
              <w:t>147 111,2</w:t>
            </w:r>
          </w:p>
        </w:tc>
      </w:tr>
      <w:tr w:rsidR="00910CB5" w:rsidRPr="006E5119" w:rsidTr="00910CB5">
        <w:trPr>
          <w:trHeight w:val="3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20</w:t>
            </w:r>
            <w:r>
              <w:t xml:space="preserve"> </w:t>
            </w:r>
            <w:r w:rsidRPr="00C558E8">
              <w:t>928,6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23</w:t>
            </w:r>
            <w:r>
              <w:t xml:space="preserve"> </w:t>
            </w:r>
            <w:r w:rsidRPr="00C558E8">
              <w:t>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18</w:t>
            </w:r>
            <w:r>
              <w:t xml:space="preserve"> </w:t>
            </w:r>
            <w:r w:rsidRPr="00C558E8"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</w:t>
            </w:r>
            <w:r>
              <w:t xml:space="preserve"> </w:t>
            </w:r>
            <w:r w:rsidRPr="00C558E8">
              <w:t>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</w:t>
            </w:r>
            <w:r>
              <w:t xml:space="preserve"> </w:t>
            </w:r>
            <w:r w:rsidRPr="00C558E8">
              <w:t>493,2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</w:t>
            </w:r>
            <w:r>
              <w:t xml:space="preserve"> </w:t>
            </w:r>
            <w:r w:rsidRPr="00C558E8">
              <w:t>493,2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</w:t>
            </w:r>
            <w:r>
              <w:t xml:space="preserve"> </w:t>
            </w:r>
            <w:r w:rsidRPr="00C558E8">
              <w:t>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</w:t>
            </w:r>
            <w:r>
              <w:t xml:space="preserve"> </w:t>
            </w:r>
            <w:r w:rsidRPr="00C558E8">
              <w:t>493,2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</w:t>
            </w:r>
            <w:r>
              <w:t xml:space="preserve"> </w:t>
            </w:r>
            <w:r w:rsidRPr="00C558E8">
              <w:t>493,2</w:t>
            </w:r>
          </w:p>
        </w:tc>
      </w:tr>
      <w:tr w:rsidR="00910CB5" w:rsidRPr="006E5119" w:rsidTr="00910CB5">
        <w:trPr>
          <w:trHeight w:val="4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</w:tr>
      <w:tr w:rsidR="00910CB5" w:rsidRPr="006E5119" w:rsidTr="00383A88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403FDB" w:rsidRDefault="00910CB5" w:rsidP="00910CB5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B65805" w:rsidRDefault="00910CB5" w:rsidP="00910CB5">
            <w:pPr>
              <w:jc w:val="center"/>
              <w:rPr>
                <w:color w:val="FF0000"/>
                <w:sz w:val="22"/>
              </w:rPr>
            </w:pPr>
          </w:p>
        </w:tc>
      </w:tr>
      <w:tr w:rsidR="00910CB5" w:rsidRPr="006E5119" w:rsidTr="00910CB5">
        <w:trPr>
          <w:trHeight w:val="9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116</w:t>
            </w:r>
            <w:r>
              <w:t xml:space="preserve"> </w:t>
            </w:r>
            <w:r w:rsidRPr="00C558E8">
              <w:t>993,5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126</w:t>
            </w:r>
            <w:r>
              <w:t xml:space="preserve"> </w:t>
            </w:r>
            <w:r w:rsidRPr="00C558E8">
              <w:t>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150</w:t>
            </w:r>
            <w:r>
              <w:t xml:space="preserve"> </w:t>
            </w:r>
            <w:r w:rsidRPr="00C558E8">
              <w:t>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156</w:t>
            </w:r>
            <w:r>
              <w:t xml:space="preserve"> </w:t>
            </w:r>
            <w:r w:rsidRPr="00C558E8">
              <w:t>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156</w:t>
            </w:r>
            <w:r>
              <w:t xml:space="preserve"> </w:t>
            </w:r>
            <w:r w:rsidRPr="00C558E8">
              <w:t>452,2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162</w:t>
            </w:r>
            <w:r>
              <w:t xml:space="preserve"> </w:t>
            </w:r>
            <w:r w:rsidRPr="00C558E8">
              <w:t>710,3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162</w:t>
            </w:r>
            <w:r>
              <w:t xml:space="preserve"> </w:t>
            </w:r>
            <w:r w:rsidRPr="00C558E8">
              <w:t>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169</w:t>
            </w:r>
            <w:r>
              <w:t xml:space="preserve"> </w:t>
            </w:r>
            <w:r w:rsidRPr="00C558E8">
              <w:t>218,7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C558E8" w:rsidRDefault="00910CB5" w:rsidP="00910CB5">
            <w:pPr>
              <w:jc w:val="right"/>
            </w:pPr>
            <w:r w:rsidRPr="00C558E8">
              <w:t>169</w:t>
            </w:r>
            <w:r>
              <w:t xml:space="preserve"> </w:t>
            </w:r>
            <w:r w:rsidRPr="00C558E8">
              <w:t>218,7</w:t>
            </w:r>
          </w:p>
        </w:tc>
      </w:tr>
      <w:tr w:rsidR="00910CB5" w:rsidRPr="006E5119" w:rsidTr="00DB11C9">
        <w:trPr>
          <w:trHeight w:val="2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CB5" w:rsidRPr="00C14FD4" w:rsidRDefault="00910CB5" w:rsidP="00910CB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CB5" w:rsidRDefault="00910CB5" w:rsidP="00910CB5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910CB5" w:rsidRPr="00C14FD4" w:rsidRDefault="00910CB5" w:rsidP="00910CB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961E6F" w:rsidRDefault="00910CB5" w:rsidP="00910CB5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E7529C" w:rsidRDefault="00910CB5" w:rsidP="00910CB5">
            <w:pPr>
              <w:jc w:val="center"/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E7529C" w:rsidRDefault="00910CB5" w:rsidP="00910CB5">
            <w:pPr>
              <w:jc w:val="center"/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910CB5" w:rsidRPr="006E5119" w:rsidTr="0053772D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Pr="00C14FD4" w:rsidRDefault="00910CB5" w:rsidP="00910CB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CB5" w:rsidRPr="00C14FD4" w:rsidRDefault="00910CB5" w:rsidP="00910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CB5" w:rsidRPr="00C14FD4" w:rsidRDefault="00910CB5" w:rsidP="00910CB5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CB5" w:rsidRPr="00C14FD4" w:rsidRDefault="00910CB5" w:rsidP="00910CB5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CB5" w:rsidRPr="00C14FD4" w:rsidRDefault="00910CB5" w:rsidP="00910CB5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961E6F" w:rsidRDefault="00910CB5" w:rsidP="00910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E7529C" w:rsidRDefault="00910CB5" w:rsidP="00910CB5">
            <w:pPr>
              <w:jc w:val="center"/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E7529C" w:rsidRDefault="00910CB5" w:rsidP="00910CB5">
            <w:pPr>
              <w:jc w:val="center"/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 г.</w:t>
            </w:r>
          </w:p>
        </w:tc>
      </w:tr>
      <w:tr w:rsidR="00910CB5" w:rsidRPr="006E5119" w:rsidTr="0053772D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Default="00910CB5" w:rsidP="00910CB5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CB5" w:rsidRDefault="00910CB5" w:rsidP="00910CB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B5" w:rsidRDefault="00910CB5" w:rsidP="00910C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B5" w:rsidRDefault="00910CB5" w:rsidP="00910C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CB5" w:rsidRDefault="00910CB5" w:rsidP="00910CB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Базовый</w:t>
            </w:r>
          </w:p>
        </w:tc>
      </w:tr>
      <w:tr w:rsidR="00910CB5" w:rsidRPr="006E5119" w:rsidTr="0053772D">
        <w:trPr>
          <w:trHeight w:val="232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CB5" w:rsidRDefault="00910CB5" w:rsidP="00910CB5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Default="00910CB5" w:rsidP="00910CB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Default="00910CB5" w:rsidP="00910C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Default="00910CB5" w:rsidP="00910CB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Default="00910CB5" w:rsidP="00910CB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B5" w:rsidRPr="00203B40" w:rsidRDefault="00910CB5" w:rsidP="00910CB5">
            <w:pPr>
              <w:jc w:val="center"/>
            </w:pPr>
            <w:r w:rsidRPr="00203B40">
              <w:t>2 вариант</w:t>
            </w:r>
          </w:p>
        </w:tc>
      </w:tr>
      <w:tr w:rsidR="00910CB5" w:rsidRPr="006E5119" w:rsidTr="00383A88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924AD0" w:rsidRDefault="00910CB5" w:rsidP="00910CB5">
            <w:pPr>
              <w:rPr>
                <w:sz w:val="22"/>
                <w:szCs w:val="22"/>
              </w:rPr>
            </w:pPr>
            <w:r w:rsidRPr="00924A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924AD0" w:rsidRDefault="00910CB5" w:rsidP="00910CB5">
            <w:pPr>
              <w:jc w:val="center"/>
            </w:pPr>
            <w:r w:rsidRPr="00924AD0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687</w:t>
            </w:r>
            <w:r>
              <w:t xml:space="preserve"> </w:t>
            </w:r>
            <w:r w:rsidRPr="00263FAB">
              <w:t>530,8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755</w:t>
            </w:r>
            <w:r>
              <w:t xml:space="preserve"> </w:t>
            </w:r>
            <w:r w:rsidRPr="00263FAB">
              <w:t>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766</w:t>
            </w:r>
            <w:r>
              <w:t xml:space="preserve"> </w:t>
            </w:r>
            <w:r w:rsidRPr="00263FAB">
              <w:t>532,9</w:t>
            </w:r>
          </w:p>
        </w:tc>
      </w:tr>
      <w:tr w:rsidR="00910CB5" w:rsidRPr="00464752" w:rsidTr="00383A88">
        <w:trPr>
          <w:trHeight w:val="2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0CB5" w:rsidRPr="002563EE" w:rsidRDefault="00910CB5" w:rsidP="00910CB5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5" w:rsidRPr="006E5119" w:rsidRDefault="00910CB5" w:rsidP="00910CB5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516,3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304,2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450,4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520,0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508,4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586,9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B5" w:rsidRPr="00263FAB" w:rsidRDefault="00910CB5" w:rsidP="00910CB5">
            <w:pPr>
              <w:jc w:val="right"/>
            </w:pPr>
            <w:r w:rsidRPr="00263FAB">
              <w:t>1</w:t>
            </w:r>
            <w:r>
              <w:t xml:space="preserve"> </w:t>
            </w:r>
            <w:r w:rsidRPr="00263FAB">
              <w:t>568,8</w:t>
            </w:r>
          </w:p>
        </w:tc>
      </w:tr>
    </w:tbl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910CB5" w:rsidRPr="00203B40" w:rsidRDefault="00910CB5" w:rsidP="00910CB5">
      <w:pPr>
        <w:ind w:left="720" w:hanging="720"/>
        <w:rPr>
          <w:sz w:val="22"/>
        </w:rPr>
      </w:pPr>
      <w:r w:rsidRPr="00203B40">
        <w:rPr>
          <w:sz w:val="22"/>
        </w:rPr>
        <w:t>*Статистические данные отсутствуют, при расчете применена экспертная оценка</w:t>
      </w:r>
    </w:p>
    <w:p w:rsidR="00910CB5" w:rsidRDefault="00910CB5" w:rsidP="00910CB5">
      <w:pPr>
        <w:ind w:left="720" w:hanging="720"/>
        <w:rPr>
          <w:sz w:val="22"/>
        </w:rPr>
      </w:pPr>
      <w:r w:rsidRPr="00203B40">
        <w:rPr>
          <w:sz w:val="22"/>
        </w:rPr>
        <w:t xml:space="preserve">** При расчете применена экспертная оценка с учетом </w:t>
      </w:r>
      <w:proofErr w:type="spellStart"/>
      <w:r w:rsidRPr="00203B40">
        <w:rPr>
          <w:sz w:val="22"/>
        </w:rPr>
        <w:t>досчета</w:t>
      </w:r>
      <w:proofErr w:type="spellEnd"/>
      <w:r w:rsidRPr="00203B40">
        <w:rPr>
          <w:sz w:val="22"/>
        </w:rPr>
        <w:t xml:space="preserve"> по субъектам малого предпринимательства</w:t>
      </w:r>
    </w:p>
    <w:p w:rsidR="00910CB5" w:rsidRPr="00203B40" w:rsidRDefault="00910CB5" w:rsidP="00910CB5">
      <w:pPr>
        <w:ind w:left="426" w:hanging="426"/>
        <w:rPr>
          <w:sz w:val="22"/>
        </w:rPr>
      </w:pPr>
      <w:r w:rsidRPr="00F810D1">
        <w:rPr>
          <w:sz w:val="22"/>
        </w:rPr>
        <w:t>***В связи с тем, что сплошное статистическое наблюдение за деятельностью малого и среднего бизнеса проводится раз в пять лет показатели рассчитаны с учетом данных Единого реестра субъектов малого и среднего предпринимательства</w:t>
      </w:r>
    </w:p>
    <w:p w:rsidR="00910CB5" w:rsidRPr="00203B40" w:rsidRDefault="00910CB5" w:rsidP="00910CB5">
      <w:pPr>
        <w:ind w:left="720" w:hanging="720"/>
        <w:rPr>
          <w:sz w:val="22"/>
        </w:rPr>
      </w:pPr>
    </w:p>
    <w:p w:rsidR="00910CB5" w:rsidRPr="00203B40" w:rsidRDefault="00910CB5" w:rsidP="00910CB5">
      <w:pPr>
        <w:ind w:firstLine="709"/>
        <w:jc w:val="both"/>
        <w:rPr>
          <w:sz w:val="24"/>
          <w:szCs w:val="24"/>
        </w:rPr>
      </w:pPr>
      <w:r w:rsidRPr="00203B40">
        <w:rPr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Pr="00203B40">
        <w:rPr>
          <w:sz w:val="24"/>
          <w:szCs w:val="24"/>
        </w:rPr>
        <w:t>Печенгского</w:t>
      </w:r>
      <w:proofErr w:type="spellEnd"/>
      <w:r w:rsidRPr="00203B40">
        <w:rPr>
          <w:sz w:val="24"/>
          <w:szCs w:val="24"/>
        </w:rPr>
        <w:t xml:space="preserve"> муниципального округа в 1 полугодии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года и ожидаемые итоги за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представлены в приложении № 1 к прогнозу социально-экономического развития </w:t>
      </w:r>
      <w:proofErr w:type="spellStart"/>
      <w:r w:rsidRPr="00203B40">
        <w:rPr>
          <w:sz w:val="24"/>
          <w:szCs w:val="24"/>
        </w:rPr>
        <w:t>Печенгского</w:t>
      </w:r>
      <w:proofErr w:type="spellEnd"/>
      <w:r w:rsidRPr="00203B40">
        <w:rPr>
          <w:sz w:val="24"/>
          <w:szCs w:val="24"/>
        </w:rPr>
        <w:t xml:space="preserve"> муниципального округа на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203B40">
        <w:rPr>
          <w:sz w:val="24"/>
          <w:szCs w:val="24"/>
        </w:rPr>
        <w:t xml:space="preserve"> годов.</w:t>
      </w:r>
    </w:p>
    <w:p w:rsidR="00910CB5" w:rsidRDefault="00910CB5" w:rsidP="00910CB5">
      <w:pPr>
        <w:ind w:firstLine="709"/>
        <w:jc w:val="both"/>
        <w:rPr>
          <w:sz w:val="22"/>
        </w:rPr>
      </w:pPr>
      <w:r w:rsidRPr="00203B40">
        <w:rPr>
          <w:sz w:val="24"/>
          <w:szCs w:val="24"/>
        </w:rPr>
        <w:t xml:space="preserve">Пояснительная записка к прогнозу социально-экономического развития </w:t>
      </w:r>
      <w:proofErr w:type="spellStart"/>
      <w:r w:rsidRPr="00203B40">
        <w:rPr>
          <w:sz w:val="24"/>
          <w:szCs w:val="24"/>
        </w:rPr>
        <w:t>Печенгского</w:t>
      </w:r>
      <w:proofErr w:type="spellEnd"/>
      <w:r w:rsidRPr="00203B40">
        <w:rPr>
          <w:sz w:val="24"/>
          <w:szCs w:val="24"/>
        </w:rPr>
        <w:t xml:space="preserve"> муниципального округа на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203B40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представлена</w:t>
      </w:r>
      <w:r w:rsidRPr="00203B40">
        <w:rPr>
          <w:sz w:val="24"/>
          <w:szCs w:val="24"/>
        </w:rPr>
        <w:t xml:space="preserve"> в приложении № 2 к прогнозу социально-экономического развития </w:t>
      </w:r>
      <w:proofErr w:type="spellStart"/>
      <w:r w:rsidRPr="00203B40">
        <w:rPr>
          <w:sz w:val="24"/>
          <w:szCs w:val="24"/>
        </w:rPr>
        <w:t>Печенгского</w:t>
      </w:r>
      <w:proofErr w:type="spellEnd"/>
      <w:r w:rsidRPr="00203B40">
        <w:rPr>
          <w:sz w:val="24"/>
          <w:szCs w:val="24"/>
        </w:rPr>
        <w:t xml:space="preserve"> муниципального округа на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203B40">
        <w:rPr>
          <w:sz w:val="24"/>
          <w:szCs w:val="24"/>
        </w:rPr>
        <w:t xml:space="preserve"> годов.</w:t>
      </w:r>
    </w:p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383A88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383A88" w:rsidRPr="007E0E0B" w:rsidRDefault="00383A88" w:rsidP="005B0E8F">
      <w:pPr>
        <w:jc w:val="center"/>
        <w:rPr>
          <w:bCs/>
          <w:color w:val="auto"/>
          <w:sz w:val="24"/>
          <w:szCs w:val="24"/>
        </w:rPr>
      </w:pPr>
    </w:p>
    <w:p w:rsidR="005B0E8F" w:rsidRPr="00BA7B9D" w:rsidRDefault="005B0E8F" w:rsidP="005B0E8F">
      <w:pPr>
        <w:ind w:firstLine="600"/>
        <w:rPr>
          <w:color w:val="auto"/>
          <w:szCs w:val="28"/>
        </w:rPr>
      </w:pPr>
    </w:p>
    <w:p w:rsidR="00C32EAA" w:rsidRDefault="00C32EAA" w:rsidP="00C32EAA">
      <w:pPr>
        <w:ind w:left="720" w:hanging="720"/>
        <w:rPr>
          <w:sz w:val="22"/>
        </w:rPr>
      </w:pP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  <w:sectPr w:rsidR="00C32EAA" w:rsidRPr="0092573E" w:rsidSect="007E0E0B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5B0E8F" w:rsidRPr="00436D91" w:rsidRDefault="005B0E8F" w:rsidP="007E0E0B">
      <w:pPr>
        <w:ind w:left="5529"/>
        <w:jc w:val="both"/>
        <w:rPr>
          <w:color w:val="auto"/>
          <w:sz w:val="22"/>
          <w:szCs w:val="22"/>
        </w:rPr>
      </w:pPr>
      <w:r w:rsidRPr="00436D91">
        <w:rPr>
          <w:color w:val="auto"/>
          <w:sz w:val="22"/>
          <w:szCs w:val="22"/>
        </w:rPr>
        <w:lastRenderedPageBreak/>
        <w:t>Приложение № 1</w:t>
      </w:r>
    </w:p>
    <w:p w:rsidR="005B0E8F" w:rsidRPr="0092573E" w:rsidRDefault="009A1D8A" w:rsidP="007E0E0B">
      <w:pPr>
        <w:ind w:left="5529"/>
        <w:jc w:val="both"/>
        <w:rPr>
          <w:color w:val="FF0000"/>
          <w:sz w:val="22"/>
          <w:szCs w:val="22"/>
        </w:rPr>
      </w:pPr>
      <w:r w:rsidRPr="00436D91">
        <w:rPr>
          <w:color w:val="auto"/>
          <w:sz w:val="22"/>
          <w:szCs w:val="22"/>
        </w:rPr>
        <w:t xml:space="preserve">к </w:t>
      </w:r>
      <w:r w:rsidR="005B0E8F" w:rsidRPr="00436D91">
        <w:rPr>
          <w:color w:val="auto"/>
          <w:sz w:val="22"/>
          <w:szCs w:val="22"/>
        </w:rPr>
        <w:t xml:space="preserve">прогнозу социально-экономического развития </w:t>
      </w:r>
      <w:proofErr w:type="spellStart"/>
      <w:r w:rsidR="005B0E8F" w:rsidRPr="00436D91">
        <w:rPr>
          <w:color w:val="auto"/>
          <w:sz w:val="22"/>
          <w:szCs w:val="22"/>
        </w:rPr>
        <w:t>Печенгского</w:t>
      </w:r>
      <w:proofErr w:type="spellEnd"/>
      <w:r w:rsidR="005B0E8F" w:rsidRPr="00436D91">
        <w:rPr>
          <w:color w:val="auto"/>
          <w:sz w:val="22"/>
          <w:szCs w:val="22"/>
        </w:rPr>
        <w:t xml:space="preserve"> муниципального округа на 202</w:t>
      </w:r>
      <w:r w:rsidR="00910CB5">
        <w:rPr>
          <w:color w:val="auto"/>
          <w:sz w:val="22"/>
          <w:szCs w:val="22"/>
        </w:rPr>
        <w:t>5</w:t>
      </w:r>
      <w:r w:rsidR="005B0E8F" w:rsidRPr="00436D91">
        <w:rPr>
          <w:color w:val="auto"/>
          <w:sz w:val="22"/>
          <w:szCs w:val="22"/>
        </w:rPr>
        <w:t xml:space="preserve"> год и на плановый период 202</w:t>
      </w:r>
      <w:r w:rsidR="00910CB5">
        <w:rPr>
          <w:color w:val="auto"/>
          <w:sz w:val="22"/>
          <w:szCs w:val="22"/>
        </w:rPr>
        <w:t>6</w:t>
      </w:r>
      <w:r w:rsidR="005B0E8F" w:rsidRPr="00436D91">
        <w:rPr>
          <w:color w:val="auto"/>
          <w:sz w:val="22"/>
          <w:szCs w:val="22"/>
        </w:rPr>
        <w:t xml:space="preserve"> и 202</w:t>
      </w:r>
      <w:r w:rsidR="00910CB5">
        <w:rPr>
          <w:color w:val="auto"/>
          <w:sz w:val="22"/>
          <w:szCs w:val="22"/>
        </w:rPr>
        <w:t>7</w:t>
      </w:r>
      <w:r w:rsidR="005B0E8F" w:rsidRPr="00436D91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C1382B" w:rsidRPr="00DB72DE" w:rsidRDefault="00C1382B" w:rsidP="00C1382B">
      <w:pPr>
        <w:jc w:val="center"/>
        <w:rPr>
          <w:b/>
          <w:color w:val="auto"/>
          <w:sz w:val="24"/>
          <w:szCs w:val="24"/>
        </w:rPr>
      </w:pPr>
      <w:bookmarkStart w:id="1" w:name="_Toc106522149"/>
      <w:bookmarkStart w:id="2" w:name="_Toc106522199"/>
      <w:bookmarkStart w:id="3" w:name="_Toc106522344"/>
      <w:bookmarkStart w:id="4" w:name="_Toc106522945"/>
      <w:bookmarkStart w:id="5" w:name="_Toc106526611"/>
      <w:r w:rsidRPr="00DB72DE">
        <w:rPr>
          <w:b/>
          <w:color w:val="auto"/>
          <w:sz w:val="24"/>
          <w:szCs w:val="24"/>
        </w:rPr>
        <w:t>ПРЕДВАРИТЕЛЬНЫЕ ИТОГИ</w:t>
      </w:r>
    </w:p>
    <w:p w:rsidR="00C1382B" w:rsidRPr="00C1382B" w:rsidRDefault="00C1382B" w:rsidP="00C1382B">
      <w:pPr>
        <w:jc w:val="center"/>
        <w:rPr>
          <w:color w:val="auto"/>
          <w:sz w:val="24"/>
          <w:szCs w:val="24"/>
        </w:rPr>
      </w:pPr>
      <w:r w:rsidRPr="00C1382B">
        <w:rPr>
          <w:color w:val="auto"/>
          <w:sz w:val="24"/>
          <w:szCs w:val="24"/>
        </w:rPr>
        <w:t xml:space="preserve">социального экономического развития </w:t>
      </w:r>
      <w:proofErr w:type="spellStart"/>
      <w:r w:rsidRPr="00C1382B">
        <w:rPr>
          <w:color w:val="auto"/>
          <w:sz w:val="24"/>
          <w:szCs w:val="24"/>
        </w:rPr>
        <w:t>Печенгского</w:t>
      </w:r>
      <w:proofErr w:type="spellEnd"/>
      <w:r w:rsidRPr="00C1382B">
        <w:rPr>
          <w:color w:val="auto"/>
          <w:sz w:val="24"/>
          <w:szCs w:val="24"/>
        </w:rPr>
        <w:t xml:space="preserve"> муниципального округа </w:t>
      </w:r>
    </w:p>
    <w:p w:rsidR="00C1382B" w:rsidRPr="00C1382B" w:rsidRDefault="00C1382B" w:rsidP="00C1382B">
      <w:pPr>
        <w:jc w:val="center"/>
        <w:rPr>
          <w:bCs/>
          <w:color w:val="auto"/>
          <w:sz w:val="24"/>
          <w:szCs w:val="24"/>
        </w:rPr>
      </w:pPr>
      <w:r w:rsidRPr="00C1382B">
        <w:rPr>
          <w:color w:val="auto"/>
          <w:sz w:val="24"/>
          <w:szCs w:val="24"/>
        </w:rPr>
        <w:t>в 1 полугодии 202</w:t>
      </w:r>
      <w:r w:rsidR="00910CB5">
        <w:rPr>
          <w:color w:val="auto"/>
          <w:sz w:val="24"/>
          <w:szCs w:val="24"/>
        </w:rPr>
        <w:t>4</w:t>
      </w:r>
      <w:r w:rsidRPr="00C1382B">
        <w:rPr>
          <w:color w:val="auto"/>
          <w:sz w:val="24"/>
          <w:szCs w:val="24"/>
        </w:rPr>
        <w:t xml:space="preserve"> года и ожидаемые итоги социально-экономического развития  </w:t>
      </w:r>
      <w:proofErr w:type="spellStart"/>
      <w:r w:rsidRPr="00C1382B">
        <w:rPr>
          <w:color w:val="auto"/>
          <w:sz w:val="24"/>
          <w:szCs w:val="24"/>
        </w:rPr>
        <w:t>Печенгского</w:t>
      </w:r>
      <w:proofErr w:type="spellEnd"/>
      <w:r w:rsidRPr="00C1382B">
        <w:rPr>
          <w:color w:val="auto"/>
          <w:sz w:val="24"/>
          <w:szCs w:val="24"/>
        </w:rPr>
        <w:t xml:space="preserve"> муниципального округа за 202</w:t>
      </w:r>
      <w:r w:rsidR="00910CB5">
        <w:rPr>
          <w:color w:val="auto"/>
          <w:sz w:val="24"/>
          <w:szCs w:val="24"/>
        </w:rPr>
        <w:t>4</w:t>
      </w:r>
      <w:r w:rsidRPr="00C1382B">
        <w:rPr>
          <w:color w:val="auto"/>
          <w:sz w:val="24"/>
          <w:szCs w:val="24"/>
        </w:rPr>
        <w:t xml:space="preserve"> год</w:t>
      </w:r>
    </w:p>
    <w:p w:rsidR="005B0E8F" w:rsidRPr="0092573E" w:rsidRDefault="005B0E8F" w:rsidP="005B0E8F">
      <w:pPr>
        <w:jc w:val="both"/>
        <w:rPr>
          <w:color w:val="FF0000"/>
          <w:sz w:val="26"/>
          <w:szCs w:val="26"/>
        </w:rPr>
      </w:pPr>
    </w:p>
    <w:p w:rsidR="005B0E8F" w:rsidRDefault="005B0E8F" w:rsidP="005B0E8F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559"/>
        <w:gridCol w:w="1276"/>
        <w:gridCol w:w="1276"/>
        <w:gridCol w:w="1134"/>
      </w:tblGrid>
      <w:tr w:rsidR="00910CB5" w:rsidRPr="003B2ABF" w:rsidTr="00C1382B">
        <w:trPr>
          <w:trHeight w:val="945"/>
          <w:tblHeader/>
        </w:trPr>
        <w:tc>
          <w:tcPr>
            <w:tcW w:w="4116" w:type="dxa"/>
            <w:shd w:val="clear" w:color="auto" w:fill="auto"/>
            <w:vAlign w:val="center"/>
          </w:tcPr>
          <w:p w:rsidR="00910CB5" w:rsidRPr="00AD3FD7" w:rsidRDefault="00910CB5" w:rsidP="00AA411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D3FD7">
              <w:rPr>
                <w:bCs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CB5" w:rsidRPr="00AD3FD7" w:rsidRDefault="00910CB5" w:rsidP="00AA411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D3FD7">
              <w:rPr>
                <w:bCs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CB5" w:rsidRPr="00AD3FD7" w:rsidRDefault="00910CB5" w:rsidP="00AA411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D3FD7">
              <w:rPr>
                <w:bCs/>
                <w:color w:val="auto"/>
                <w:sz w:val="22"/>
                <w:szCs w:val="22"/>
              </w:rPr>
              <w:t>1 полугодие 2023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CB5" w:rsidRPr="00AD3FD7" w:rsidRDefault="00910CB5" w:rsidP="00AA411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D3FD7">
              <w:rPr>
                <w:bCs/>
                <w:color w:val="auto"/>
                <w:sz w:val="22"/>
                <w:szCs w:val="22"/>
              </w:rPr>
              <w:t>1 полугодие 2024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CB5" w:rsidRPr="00AD3FD7" w:rsidRDefault="00910CB5" w:rsidP="00AA411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D3FD7">
              <w:rPr>
                <w:bCs/>
                <w:color w:val="auto"/>
                <w:sz w:val="22"/>
                <w:szCs w:val="22"/>
              </w:rPr>
              <w:t>2024 год</w:t>
            </w:r>
          </w:p>
          <w:p w:rsidR="00910CB5" w:rsidRPr="00AD3FD7" w:rsidRDefault="00910CB5" w:rsidP="00AA411B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D3FD7">
              <w:rPr>
                <w:bCs/>
                <w:color w:val="auto"/>
                <w:sz w:val="22"/>
                <w:szCs w:val="22"/>
              </w:rPr>
              <w:t>(оценка)</w:t>
            </w:r>
          </w:p>
        </w:tc>
      </w:tr>
      <w:tr w:rsidR="00910CB5" w:rsidRPr="003B2ABF" w:rsidTr="00C1382B">
        <w:trPr>
          <w:trHeight w:val="315"/>
          <w:tblHeader/>
        </w:trPr>
        <w:tc>
          <w:tcPr>
            <w:tcW w:w="4116" w:type="dxa"/>
            <w:vAlign w:val="center"/>
          </w:tcPr>
          <w:p w:rsidR="00910CB5" w:rsidRPr="00AD3FD7" w:rsidRDefault="00910CB5" w:rsidP="00AA411B">
            <w:pPr>
              <w:jc w:val="center"/>
              <w:rPr>
                <w:color w:val="auto"/>
                <w:sz w:val="18"/>
                <w:szCs w:val="18"/>
              </w:rPr>
            </w:pPr>
            <w:r w:rsidRPr="00AD3FD7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910CB5" w:rsidRPr="00AD3FD7" w:rsidRDefault="00910CB5" w:rsidP="00AA411B">
            <w:pPr>
              <w:jc w:val="center"/>
              <w:rPr>
                <w:color w:val="auto"/>
                <w:sz w:val="18"/>
                <w:szCs w:val="18"/>
              </w:rPr>
            </w:pPr>
            <w:r w:rsidRPr="00AD3FD7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910CB5" w:rsidRPr="00AD3FD7" w:rsidRDefault="00910CB5" w:rsidP="00AA411B">
            <w:pPr>
              <w:jc w:val="center"/>
              <w:rPr>
                <w:color w:val="auto"/>
                <w:sz w:val="18"/>
                <w:szCs w:val="18"/>
              </w:rPr>
            </w:pPr>
            <w:r w:rsidRPr="00AD3FD7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10CB5" w:rsidRPr="00AD3FD7" w:rsidRDefault="00910CB5" w:rsidP="00AA411B">
            <w:pPr>
              <w:jc w:val="center"/>
              <w:rPr>
                <w:color w:val="auto"/>
                <w:sz w:val="18"/>
                <w:szCs w:val="18"/>
              </w:rPr>
            </w:pPr>
            <w:r w:rsidRPr="00AD3FD7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910CB5" w:rsidRPr="00AD3FD7" w:rsidRDefault="00910CB5" w:rsidP="00AA411B">
            <w:pPr>
              <w:jc w:val="center"/>
              <w:rPr>
                <w:color w:val="auto"/>
                <w:sz w:val="18"/>
                <w:szCs w:val="18"/>
              </w:rPr>
            </w:pPr>
            <w:r w:rsidRPr="00AD3FD7">
              <w:rPr>
                <w:color w:val="auto"/>
                <w:sz w:val="18"/>
                <w:szCs w:val="18"/>
              </w:rPr>
              <w:t>5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AD3FD7" w:rsidRDefault="00910CB5" w:rsidP="00AA411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D3FD7">
              <w:rPr>
                <w:b/>
                <w:bCs/>
                <w:color w:val="auto"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559" w:type="dxa"/>
          </w:tcPr>
          <w:p w:rsidR="00910CB5" w:rsidRPr="00AD3FD7" w:rsidRDefault="00910CB5" w:rsidP="00AA411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0CB5" w:rsidRPr="00AD3FD7" w:rsidRDefault="00910CB5" w:rsidP="00AA411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0CB5" w:rsidRPr="00AD3FD7" w:rsidRDefault="00910CB5" w:rsidP="00AA411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0CB5" w:rsidRPr="00AD3FD7" w:rsidRDefault="00910CB5" w:rsidP="00AA411B">
            <w:pPr>
              <w:rPr>
                <w:color w:val="FF0000"/>
                <w:sz w:val="22"/>
                <w:szCs w:val="22"/>
              </w:rPr>
            </w:pP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тыс. человек</w:t>
            </w:r>
          </w:p>
        </w:tc>
        <w:tc>
          <w:tcPr>
            <w:tcW w:w="1276" w:type="dxa"/>
            <w:vAlign w:val="center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910CB5" w:rsidRPr="00AD3FD7" w:rsidRDefault="00910CB5" w:rsidP="00AA411B">
            <w:pPr>
              <w:ind w:left="-111" w:right="-108"/>
              <w:jc w:val="center"/>
              <w:rPr>
                <w:color w:val="FF0000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29,176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B25E5C">
              <w:rPr>
                <w:color w:val="auto"/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141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123</w:t>
            </w:r>
          </w:p>
        </w:tc>
        <w:tc>
          <w:tcPr>
            <w:tcW w:w="1134" w:type="dxa"/>
          </w:tcPr>
          <w:p w:rsidR="00910CB5" w:rsidRPr="00C32F62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248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B25E5C">
              <w:rPr>
                <w:color w:val="auto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153</w:t>
            </w:r>
          </w:p>
        </w:tc>
        <w:tc>
          <w:tcPr>
            <w:tcW w:w="1134" w:type="dxa"/>
          </w:tcPr>
          <w:p w:rsidR="00910CB5" w:rsidRPr="00C32F62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311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>Естественный прирост (убыль)</w:t>
            </w:r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-64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-30</w:t>
            </w:r>
          </w:p>
        </w:tc>
        <w:tc>
          <w:tcPr>
            <w:tcW w:w="1134" w:type="dxa"/>
          </w:tcPr>
          <w:p w:rsidR="00910CB5" w:rsidRPr="00C32F62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-63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B25E5C">
              <w:rPr>
                <w:color w:val="auto"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429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395</w:t>
            </w:r>
          </w:p>
        </w:tc>
        <w:tc>
          <w:tcPr>
            <w:tcW w:w="1134" w:type="dxa"/>
          </w:tcPr>
          <w:p w:rsidR="00910CB5" w:rsidRPr="00C32F62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782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 xml:space="preserve">Число </w:t>
            </w:r>
            <w:proofErr w:type="gramStart"/>
            <w:r w:rsidRPr="00B25E5C">
              <w:rPr>
                <w:color w:val="auto"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762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771</w:t>
            </w:r>
          </w:p>
        </w:tc>
        <w:tc>
          <w:tcPr>
            <w:tcW w:w="1134" w:type="dxa"/>
          </w:tcPr>
          <w:p w:rsidR="00910CB5" w:rsidRPr="00C32F62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1 632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B25E5C" w:rsidRDefault="00910CB5" w:rsidP="00AA411B">
            <w:pPr>
              <w:rPr>
                <w:color w:val="auto"/>
                <w:sz w:val="22"/>
                <w:szCs w:val="22"/>
              </w:rPr>
            </w:pPr>
            <w:r w:rsidRPr="00B25E5C">
              <w:rPr>
                <w:color w:val="auto"/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1559" w:type="dxa"/>
          </w:tcPr>
          <w:p w:rsidR="00910CB5" w:rsidRPr="00B25E5C" w:rsidRDefault="00910CB5" w:rsidP="00AA411B">
            <w:pPr>
              <w:jc w:val="center"/>
              <w:rPr>
                <w:color w:val="auto"/>
              </w:rPr>
            </w:pPr>
            <w:r w:rsidRPr="00B25E5C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-333</w:t>
            </w:r>
          </w:p>
        </w:tc>
        <w:tc>
          <w:tcPr>
            <w:tcW w:w="1276" w:type="dxa"/>
          </w:tcPr>
          <w:p w:rsidR="00910CB5" w:rsidRPr="005D2A96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D2A96">
              <w:rPr>
                <w:color w:val="auto"/>
                <w:sz w:val="22"/>
                <w:szCs w:val="22"/>
              </w:rPr>
              <w:t>-376</w:t>
            </w:r>
          </w:p>
        </w:tc>
        <w:tc>
          <w:tcPr>
            <w:tcW w:w="1134" w:type="dxa"/>
          </w:tcPr>
          <w:p w:rsidR="00910CB5" w:rsidRPr="00C32F62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C32F62">
              <w:rPr>
                <w:color w:val="auto"/>
                <w:sz w:val="22"/>
                <w:szCs w:val="22"/>
              </w:rPr>
              <w:t>-850</w:t>
            </w:r>
          </w:p>
        </w:tc>
      </w:tr>
      <w:tr w:rsidR="00910CB5" w:rsidRPr="003B2ABF" w:rsidTr="00C1382B">
        <w:trPr>
          <w:trHeight w:val="275"/>
        </w:trPr>
        <w:tc>
          <w:tcPr>
            <w:tcW w:w="4116" w:type="dxa"/>
          </w:tcPr>
          <w:p w:rsidR="00910CB5" w:rsidRPr="00AD3FD7" w:rsidRDefault="00910CB5" w:rsidP="00AA411B">
            <w:pPr>
              <w:rPr>
                <w:b/>
                <w:color w:val="FF0000"/>
                <w:sz w:val="22"/>
                <w:szCs w:val="22"/>
              </w:rPr>
            </w:pPr>
            <w:r w:rsidRPr="00AD3FD7">
              <w:rPr>
                <w:b/>
                <w:color w:val="auto"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559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10CB5" w:rsidRPr="003B2ABF" w:rsidTr="00C1382B">
        <w:trPr>
          <w:trHeight w:val="300"/>
        </w:trPr>
        <w:tc>
          <w:tcPr>
            <w:tcW w:w="5675" w:type="dxa"/>
            <w:gridSpan w:val="2"/>
            <w:noWrap/>
          </w:tcPr>
          <w:p w:rsidR="00910CB5" w:rsidRPr="00AD3FD7" w:rsidRDefault="00910CB5" w:rsidP="00AA411B">
            <w:pPr>
              <w:rPr>
                <w:color w:val="FF0000"/>
              </w:rPr>
            </w:pPr>
            <w:proofErr w:type="gramStart"/>
            <w:r w:rsidRPr="00C2787D">
              <w:rPr>
                <w:color w:val="auto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силами, по виду деятельности, относящимся к промышленному производству по крупным и средним предприятиям </w:t>
            </w:r>
            <w:proofErr w:type="gramEnd"/>
          </w:p>
        </w:tc>
        <w:tc>
          <w:tcPr>
            <w:tcW w:w="1276" w:type="dxa"/>
            <w:noWrap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910CB5" w:rsidRPr="00B76107" w:rsidRDefault="00910CB5" w:rsidP="00AA411B">
            <w:pPr>
              <w:jc w:val="center"/>
              <w:rPr>
                <w:color w:val="FF0000"/>
                <w:sz w:val="22"/>
                <w:szCs w:val="22"/>
                <w:vertAlign w:val="superscript"/>
              </w:rPr>
            </w:pPr>
          </w:p>
        </w:tc>
      </w:tr>
      <w:tr w:rsidR="00910CB5" w:rsidRPr="003B2ABF" w:rsidTr="00C1382B">
        <w:trPr>
          <w:trHeight w:val="919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t>Раздел</w:t>
            </w:r>
            <w:proofErr w:type="gramStart"/>
            <w:r w:rsidRPr="00435627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435627">
              <w:rPr>
                <w:color w:val="auto"/>
                <w:sz w:val="22"/>
                <w:szCs w:val="22"/>
              </w:rPr>
              <w:t>: добыча полезных ископаемых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>млн. руб.</w:t>
            </w:r>
          </w:p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441945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441945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-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-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36 267,5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t>Темп роста – раздел</w:t>
            </w:r>
            <w:proofErr w:type="gramStart"/>
            <w:r w:rsidRPr="00435627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435627">
              <w:rPr>
                <w:color w:val="auto"/>
                <w:sz w:val="22"/>
                <w:szCs w:val="22"/>
              </w:rPr>
              <w:t>: добыча полезных ископаемых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proofErr w:type="gramStart"/>
            <w:r w:rsidRPr="00441945">
              <w:rPr>
                <w:color w:val="auto"/>
              </w:rPr>
              <w:t>в</w:t>
            </w:r>
            <w:proofErr w:type="gramEnd"/>
            <w:r w:rsidRPr="00441945">
              <w:rPr>
                <w:color w:val="auto"/>
              </w:rPr>
              <w:t xml:space="preserve"> % </w:t>
            </w:r>
            <w:proofErr w:type="gramStart"/>
            <w:r w:rsidRPr="00441945">
              <w:rPr>
                <w:color w:val="auto"/>
              </w:rPr>
              <w:t>к</w:t>
            </w:r>
            <w:proofErr w:type="gramEnd"/>
            <w:r w:rsidRPr="00441945"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83,0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71,4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100,1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t>Раздел C: обрабатывающие производства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>млн. руб.</w:t>
            </w:r>
          </w:p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441945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441945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1 800,1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A3020E">
              <w:rPr>
                <w:color w:val="auto"/>
                <w:sz w:val="22"/>
                <w:szCs w:val="22"/>
              </w:rPr>
              <w:t>-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A3020E">
              <w:rPr>
                <w:color w:val="auto"/>
                <w:sz w:val="22"/>
                <w:szCs w:val="22"/>
              </w:rPr>
              <w:t>3 955,5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t>Темп роста – раздел C: обрабатывающие производства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proofErr w:type="gramStart"/>
            <w:r w:rsidRPr="00441945">
              <w:rPr>
                <w:color w:val="auto"/>
              </w:rPr>
              <w:t>в</w:t>
            </w:r>
            <w:proofErr w:type="gramEnd"/>
            <w:r w:rsidRPr="00441945">
              <w:rPr>
                <w:color w:val="auto"/>
              </w:rPr>
              <w:t xml:space="preserve"> % </w:t>
            </w:r>
            <w:proofErr w:type="gramStart"/>
            <w:r w:rsidRPr="00441945">
              <w:rPr>
                <w:color w:val="auto"/>
              </w:rPr>
              <w:t>к</w:t>
            </w:r>
            <w:proofErr w:type="gramEnd"/>
            <w:r w:rsidRPr="00441945"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103,4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A3020E">
              <w:rPr>
                <w:color w:val="auto"/>
                <w:sz w:val="22"/>
                <w:szCs w:val="22"/>
              </w:rPr>
              <w:t>-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A3020E">
              <w:rPr>
                <w:color w:val="auto"/>
                <w:sz w:val="22"/>
                <w:szCs w:val="22"/>
              </w:rPr>
              <w:t>102,0</w:t>
            </w:r>
            <w:r w:rsidRPr="00A3020E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>млн. руб.</w:t>
            </w:r>
          </w:p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441945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441945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1 421,0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1 388,4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3 379,2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t xml:space="preserve">Темп роста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proofErr w:type="gramStart"/>
            <w:r w:rsidRPr="00441945">
              <w:rPr>
                <w:color w:val="auto"/>
              </w:rPr>
              <w:t>в</w:t>
            </w:r>
            <w:proofErr w:type="gramEnd"/>
            <w:r w:rsidRPr="00441945">
              <w:rPr>
                <w:color w:val="auto"/>
              </w:rPr>
              <w:t xml:space="preserve"> % </w:t>
            </w:r>
            <w:proofErr w:type="gramStart"/>
            <w:r w:rsidRPr="00441945">
              <w:rPr>
                <w:color w:val="auto"/>
              </w:rPr>
              <w:t>к</w:t>
            </w:r>
            <w:proofErr w:type="gramEnd"/>
            <w:r w:rsidRPr="00441945"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59,1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97,7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119,3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rFonts w:eastAsia="Arial Unicode MS"/>
                <w:color w:val="auto"/>
                <w:sz w:val="22"/>
                <w:szCs w:val="22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>млн. руб.</w:t>
            </w:r>
          </w:p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r w:rsidRPr="00441945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441945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441945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162,7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153,3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254,3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435627" w:rsidRDefault="00910CB5" w:rsidP="00AA411B">
            <w:pPr>
              <w:rPr>
                <w:color w:val="auto"/>
                <w:sz w:val="22"/>
                <w:szCs w:val="22"/>
              </w:rPr>
            </w:pPr>
            <w:r w:rsidRPr="00435627">
              <w:rPr>
                <w:color w:val="auto"/>
                <w:sz w:val="22"/>
                <w:szCs w:val="22"/>
              </w:rPr>
              <w:lastRenderedPageBreak/>
              <w:t>Темп роста –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910CB5" w:rsidRPr="00441945" w:rsidRDefault="00910CB5" w:rsidP="00AA411B">
            <w:pPr>
              <w:ind w:left="-18"/>
              <w:jc w:val="center"/>
              <w:rPr>
                <w:color w:val="auto"/>
              </w:rPr>
            </w:pPr>
            <w:proofErr w:type="gramStart"/>
            <w:r w:rsidRPr="00441945">
              <w:rPr>
                <w:color w:val="auto"/>
              </w:rPr>
              <w:t>в</w:t>
            </w:r>
            <w:proofErr w:type="gramEnd"/>
            <w:r w:rsidRPr="00441945">
              <w:rPr>
                <w:color w:val="auto"/>
              </w:rPr>
              <w:t xml:space="preserve"> % </w:t>
            </w:r>
            <w:proofErr w:type="gramStart"/>
            <w:r w:rsidRPr="00441945">
              <w:rPr>
                <w:color w:val="auto"/>
              </w:rPr>
              <w:t>к</w:t>
            </w:r>
            <w:proofErr w:type="gramEnd"/>
            <w:r w:rsidRPr="00441945"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70,1</w:t>
            </w:r>
          </w:p>
        </w:tc>
        <w:tc>
          <w:tcPr>
            <w:tcW w:w="1276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3020E">
              <w:rPr>
                <w:color w:val="auto"/>
                <w:sz w:val="22"/>
                <w:szCs w:val="22"/>
              </w:rPr>
              <w:t>94,2</w:t>
            </w:r>
          </w:p>
        </w:tc>
        <w:tc>
          <w:tcPr>
            <w:tcW w:w="1134" w:type="dxa"/>
            <w:noWrap/>
          </w:tcPr>
          <w:p w:rsidR="00910CB5" w:rsidRPr="00A3020E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94,2</w:t>
            </w: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AD3FD7" w:rsidRDefault="00910CB5" w:rsidP="00AA411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2787D">
              <w:rPr>
                <w:b/>
                <w:color w:val="auto"/>
                <w:sz w:val="22"/>
                <w:szCs w:val="22"/>
              </w:rPr>
              <w:t>3. Рынок товаров и услуг</w:t>
            </w:r>
          </w:p>
        </w:tc>
        <w:tc>
          <w:tcPr>
            <w:tcW w:w="1559" w:type="dxa"/>
            <w:noWrap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10CB5" w:rsidRPr="003B2ABF" w:rsidTr="00C1382B">
        <w:trPr>
          <w:trHeight w:val="300"/>
        </w:trPr>
        <w:tc>
          <w:tcPr>
            <w:tcW w:w="4116" w:type="dxa"/>
            <w:noWrap/>
          </w:tcPr>
          <w:p w:rsidR="00910CB5" w:rsidRPr="00E4606A" w:rsidRDefault="00910CB5" w:rsidP="00AA411B">
            <w:pPr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559" w:type="dxa"/>
            <w:noWrap/>
          </w:tcPr>
          <w:p w:rsidR="00910CB5" w:rsidRPr="00E4606A" w:rsidRDefault="00910CB5" w:rsidP="00AA411B">
            <w:pPr>
              <w:jc w:val="center"/>
              <w:rPr>
                <w:color w:val="auto"/>
              </w:rPr>
            </w:pPr>
            <w:r w:rsidRPr="00E4606A">
              <w:rPr>
                <w:color w:val="auto"/>
              </w:rPr>
              <w:t>млн. руб.</w:t>
            </w:r>
          </w:p>
          <w:p w:rsidR="00910CB5" w:rsidRPr="00E4606A" w:rsidRDefault="00910CB5" w:rsidP="00AA411B">
            <w:pPr>
              <w:jc w:val="center"/>
              <w:rPr>
                <w:color w:val="auto"/>
              </w:rPr>
            </w:pPr>
            <w:r w:rsidRPr="00E4606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E4606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E4606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910CB5" w:rsidRPr="00E4606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2 467,0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noWrap/>
          </w:tcPr>
          <w:p w:rsidR="00910CB5" w:rsidRPr="00E4606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2 895,2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noWrap/>
          </w:tcPr>
          <w:p w:rsidR="00910CB5" w:rsidRPr="00E4606A" w:rsidRDefault="00910CB5" w:rsidP="00AA411B">
            <w:pPr>
              <w:ind w:left="-98" w:right="-113"/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5 010,2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910CB5" w:rsidRPr="003B2ABF" w:rsidTr="00C1382B">
        <w:trPr>
          <w:trHeight w:val="259"/>
        </w:trPr>
        <w:tc>
          <w:tcPr>
            <w:tcW w:w="4116" w:type="dxa"/>
            <w:shd w:val="clear" w:color="auto" w:fill="auto"/>
          </w:tcPr>
          <w:p w:rsidR="00910CB5" w:rsidRPr="00E4606A" w:rsidRDefault="00910CB5" w:rsidP="00AA411B">
            <w:pPr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 xml:space="preserve">Оборот общественного питания </w:t>
            </w:r>
          </w:p>
        </w:tc>
        <w:tc>
          <w:tcPr>
            <w:tcW w:w="1559" w:type="dxa"/>
            <w:shd w:val="clear" w:color="auto" w:fill="auto"/>
          </w:tcPr>
          <w:p w:rsidR="00910CB5" w:rsidRPr="00E4606A" w:rsidRDefault="00910CB5" w:rsidP="00AA411B">
            <w:pPr>
              <w:jc w:val="center"/>
              <w:rPr>
                <w:color w:val="auto"/>
              </w:rPr>
            </w:pPr>
            <w:r w:rsidRPr="00E4606A">
              <w:rPr>
                <w:color w:val="auto"/>
              </w:rPr>
              <w:t>млн. руб.</w:t>
            </w:r>
          </w:p>
          <w:p w:rsidR="00910CB5" w:rsidRPr="00E4606A" w:rsidRDefault="00910CB5" w:rsidP="00AA411B">
            <w:pPr>
              <w:jc w:val="center"/>
              <w:rPr>
                <w:color w:val="auto"/>
              </w:rPr>
            </w:pPr>
            <w:r w:rsidRPr="00E4606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E4606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E4606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E4606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445,8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10CB5" w:rsidRPr="00E4606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82,4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0CB5" w:rsidRPr="00E4606A" w:rsidRDefault="00910CB5" w:rsidP="00AA411B">
            <w:pPr>
              <w:ind w:left="-98" w:right="-113"/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1 230,6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910CB5" w:rsidRPr="003B2ABF" w:rsidTr="00C1382B">
        <w:trPr>
          <w:trHeight w:val="259"/>
        </w:trPr>
        <w:tc>
          <w:tcPr>
            <w:tcW w:w="4116" w:type="dxa"/>
          </w:tcPr>
          <w:p w:rsidR="00910CB5" w:rsidRPr="00E4606A" w:rsidRDefault="00910CB5" w:rsidP="00AA411B">
            <w:pPr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1559" w:type="dxa"/>
          </w:tcPr>
          <w:p w:rsidR="00910CB5" w:rsidRPr="00E4606A" w:rsidRDefault="00910CB5" w:rsidP="00AA411B">
            <w:pPr>
              <w:jc w:val="center"/>
              <w:rPr>
                <w:color w:val="auto"/>
              </w:rPr>
            </w:pPr>
            <w:r w:rsidRPr="00E4606A">
              <w:rPr>
                <w:color w:val="auto"/>
              </w:rPr>
              <w:t>млн. руб.</w:t>
            </w:r>
          </w:p>
          <w:p w:rsidR="00910CB5" w:rsidRPr="00E4606A" w:rsidRDefault="00910CB5" w:rsidP="00AA411B">
            <w:pPr>
              <w:jc w:val="center"/>
              <w:rPr>
                <w:color w:val="auto"/>
              </w:rPr>
            </w:pPr>
            <w:r w:rsidRPr="00E4606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E4606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E4606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E4606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225,5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910CB5" w:rsidRPr="00E4606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231,9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10CB5" w:rsidRPr="00E4606A" w:rsidRDefault="00910CB5" w:rsidP="00AA411B">
            <w:pPr>
              <w:ind w:left="-98" w:right="-113"/>
              <w:jc w:val="center"/>
              <w:rPr>
                <w:color w:val="auto"/>
                <w:sz w:val="22"/>
                <w:szCs w:val="22"/>
              </w:rPr>
            </w:pPr>
            <w:r w:rsidRPr="00E4606A">
              <w:rPr>
                <w:color w:val="auto"/>
                <w:sz w:val="22"/>
                <w:szCs w:val="22"/>
              </w:rPr>
              <w:t>1 562,6</w:t>
            </w:r>
            <w:r w:rsidRPr="00E4606A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910CB5" w:rsidRPr="003B2ABF" w:rsidTr="00C1382B">
        <w:trPr>
          <w:trHeight w:val="259"/>
        </w:trPr>
        <w:tc>
          <w:tcPr>
            <w:tcW w:w="4116" w:type="dxa"/>
          </w:tcPr>
          <w:p w:rsidR="00910CB5" w:rsidRPr="00AD3FD7" w:rsidRDefault="00910CB5" w:rsidP="00AA411B">
            <w:pPr>
              <w:rPr>
                <w:b/>
                <w:color w:val="FF0000"/>
                <w:sz w:val="22"/>
                <w:szCs w:val="22"/>
              </w:rPr>
            </w:pPr>
            <w:r w:rsidRPr="00C2787D">
              <w:rPr>
                <w:b/>
                <w:color w:val="auto"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1559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10CB5" w:rsidRPr="003B2ABF" w:rsidTr="00C1382B">
        <w:trPr>
          <w:trHeight w:val="259"/>
        </w:trPr>
        <w:tc>
          <w:tcPr>
            <w:tcW w:w="4116" w:type="dxa"/>
          </w:tcPr>
          <w:p w:rsidR="00910CB5" w:rsidRPr="0095076B" w:rsidRDefault="00910CB5" w:rsidP="00AA411B">
            <w:pPr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Количество малых предпри</w:t>
            </w:r>
            <w:r w:rsidRPr="0095076B">
              <w:rPr>
                <w:color w:val="auto"/>
                <w:sz w:val="22"/>
                <w:szCs w:val="22"/>
              </w:rPr>
              <w:softHyphen/>
              <w:t>ятий</w:t>
            </w:r>
          </w:p>
        </w:tc>
        <w:tc>
          <w:tcPr>
            <w:tcW w:w="1559" w:type="dxa"/>
          </w:tcPr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>единиц</w:t>
            </w:r>
          </w:p>
        </w:tc>
        <w:tc>
          <w:tcPr>
            <w:tcW w:w="1276" w:type="dxa"/>
          </w:tcPr>
          <w:p w:rsidR="00910CB5" w:rsidRPr="0016289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16289A">
              <w:rPr>
                <w:color w:val="auto"/>
                <w:sz w:val="22"/>
                <w:szCs w:val="22"/>
              </w:rPr>
              <w:t>133</w:t>
            </w:r>
          </w:p>
        </w:tc>
        <w:tc>
          <w:tcPr>
            <w:tcW w:w="1276" w:type="dxa"/>
          </w:tcPr>
          <w:p w:rsidR="00910CB5" w:rsidRPr="00A66390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66390">
              <w:rPr>
                <w:color w:val="auto"/>
                <w:sz w:val="22"/>
                <w:szCs w:val="22"/>
              </w:rPr>
              <w:t>148</w:t>
            </w:r>
          </w:p>
        </w:tc>
        <w:tc>
          <w:tcPr>
            <w:tcW w:w="1134" w:type="dxa"/>
          </w:tcPr>
          <w:p w:rsidR="00910CB5" w:rsidRPr="0095076B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149</w:t>
            </w:r>
          </w:p>
        </w:tc>
      </w:tr>
      <w:tr w:rsidR="00910CB5" w:rsidRPr="003B2ABF" w:rsidTr="00C1382B">
        <w:trPr>
          <w:trHeight w:val="259"/>
        </w:trPr>
        <w:tc>
          <w:tcPr>
            <w:tcW w:w="4116" w:type="dxa"/>
          </w:tcPr>
          <w:p w:rsidR="00910CB5" w:rsidRPr="0095076B" w:rsidRDefault="00910CB5" w:rsidP="00AA411B">
            <w:pPr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1559" w:type="dxa"/>
          </w:tcPr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910CB5" w:rsidRPr="0016289A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16289A">
              <w:rPr>
                <w:color w:val="auto"/>
                <w:sz w:val="22"/>
                <w:szCs w:val="22"/>
              </w:rPr>
              <w:t>612</w:t>
            </w:r>
          </w:p>
        </w:tc>
        <w:tc>
          <w:tcPr>
            <w:tcW w:w="1276" w:type="dxa"/>
          </w:tcPr>
          <w:p w:rsidR="00910CB5" w:rsidRPr="00A66390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A66390">
              <w:rPr>
                <w:color w:val="auto"/>
                <w:sz w:val="22"/>
                <w:szCs w:val="22"/>
              </w:rPr>
              <w:t>684</w:t>
            </w:r>
          </w:p>
        </w:tc>
        <w:tc>
          <w:tcPr>
            <w:tcW w:w="1134" w:type="dxa"/>
          </w:tcPr>
          <w:p w:rsidR="00910CB5" w:rsidRPr="0095076B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708</w:t>
            </w:r>
          </w:p>
        </w:tc>
      </w:tr>
      <w:tr w:rsidR="00910CB5" w:rsidRPr="003B2ABF" w:rsidTr="00C1382B">
        <w:trPr>
          <w:trHeight w:val="286"/>
        </w:trPr>
        <w:tc>
          <w:tcPr>
            <w:tcW w:w="4116" w:type="dxa"/>
          </w:tcPr>
          <w:p w:rsidR="00910CB5" w:rsidRPr="00AD3FD7" w:rsidRDefault="00910CB5" w:rsidP="00AA411B">
            <w:pPr>
              <w:rPr>
                <w:b/>
                <w:color w:val="FF0000"/>
                <w:sz w:val="22"/>
                <w:szCs w:val="22"/>
              </w:rPr>
            </w:pPr>
            <w:r w:rsidRPr="00C2787D">
              <w:rPr>
                <w:b/>
                <w:color w:val="auto"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1559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10CB5" w:rsidRPr="003B2ABF" w:rsidTr="00C1382B">
        <w:trPr>
          <w:trHeight w:val="630"/>
        </w:trPr>
        <w:tc>
          <w:tcPr>
            <w:tcW w:w="4116" w:type="dxa"/>
          </w:tcPr>
          <w:p w:rsidR="00910CB5" w:rsidRPr="00D560BB" w:rsidRDefault="00910CB5" w:rsidP="00AA411B">
            <w:pPr>
              <w:rPr>
                <w:b/>
                <w:color w:val="auto"/>
                <w:sz w:val="22"/>
                <w:szCs w:val="22"/>
              </w:rPr>
            </w:pPr>
            <w:r w:rsidRPr="00D560BB">
              <w:rPr>
                <w:color w:val="auto"/>
                <w:sz w:val="22"/>
                <w:szCs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1559" w:type="dxa"/>
          </w:tcPr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>млн. руб.</w:t>
            </w:r>
          </w:p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60BB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60BB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525AE5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25AE5">
              <w:rPr>
                <w:color w:val="auto"/>
                <w:sz w:val="22"/>
                <w:szCs w:val="22"/>
              </w:rPr>
              <w:t>1 454,0</w:t>
            </w:r>
            <w:r w:rsidRPr="00525AE5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910CB5" w:rsidRPr="00E40908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2 638,5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11 695,0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910CB5" w:rsidRPr="003B2ABF" w:rsidTr="00C1382B">
        <w:trPr>
          <w:trHeight w:val="630"/>
        </w:trPr>
        <w:tc>
          <w:tcPr>
            <w:tcW w:w="4116" w:type="dxa"/>
          </w:tcPr>
          <w:p w:rsidR="00910CB5" w:rsidRPr="00D560BB" w:rsidRDefault="00910CB5" w:rsidP="00AA411B">
            <w:pPr>
              <w:rPr>
                <w:color w:val="auto"/>
                <w:sz w:val="22"/>
                <w:szCs w:val="22"/>
              </w:rPr>
            </w:pPr>
            <w:r w:rsidRPr="00D560BB">
              <w:rPr>
                <w:color w:val="auto"/>
                <w:sz w:val="22"/>
                <w:szCs w:val="22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1559" w:type="dxa"/>
          </w:tcPr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>млн. руб.</w:t>
            </w:r>
          </w:p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60BB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60BB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525AE5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25AE5">
              <w:rPr>
                <w:color w:val="auto"/>
                <w:sz w:val="22"/>
                <w:szCs w:val="22"/>
              </w:rPr>
              <w:t>1 514,3</w:t>
            </w:r>
            <w:r w:rsidRPr="00525AE5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910CB5" w:rsidRPr="00E40908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2 755,9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10CB5" w:rsidRPr="00AD3FD7" w:rsidRDefault="00910CB5" w:rsidP="00AA411B">
            <w:pPr>
              <w:ind w:left="-103" w:right="-110"/>
              <w:jc w:val="center"/>
              <w:rPr>
                <w:color w:val="FF0000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14 013,1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D560BB" w:rsidRDefault="00910CB5" w:rsidP="00AA411B">
            <w:pPr>
              <w:rPr>
                <w:color w:val="auto"/>
                <w:sz w:val="22"/>
                <w:szCs w:val="22"/>
              </w:rPr>
            </w:pPr>
            <w:r w:rsidRPr="00D560BB">
              <w:rPr>
                <w:color w:val="auto"/>
                <w:sz w:val="22"/>
                <w:szCs w:val="22"/>
              </w:rPr>
              <w:t>из них:</w:t>
            </w:r>
          </w:p>
          <w:p w:rsidR="00910CB5" w:rsidRPr="00D560BB" w:rsidRDefault="00910CB5" w:rsidP="00AA411B">
            <w:pPr>
              <w:rPr>
                <w:color w:val="auto"/>
                <w:sz w:val="22"/>
                <w:szCs w:val="22"/>
              </w:rPr>
            </w:pPr>
            <w:r w:rsidRPr="00D560BB">
              <w:rPr>
                <w:color w:val="auto"/>
                <w:sz w:val="22"/>
                <w:szCs w:val="22"/>
              </w:rPr>
              <w:t>бюджетные средства</w:t>
            </w:r>
          </w:p>
          <w:p w:rsidR="00910CB5" w:rsidRPr="00D560BB" w:rsidRDefault="00910CB5" w:rsidP="00AA411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>млн. руб.</w:t>
            </w:r>
          </w:p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60BB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60BB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525AE5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25AE5">
              <w:rPr>
                <w:color w:val="auto"/>
                <w:sz w:val="22"/>
                <w:szCs w:val="22"/>
              </w:rPr>
              <w:t>60,3</w:t>
            </w:r>
            <w:r w:rsidRPr="00525AE5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910CB5" w:rsidRPr="00E40908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117,4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10CB5" w:rsidRPr="00E40908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318,1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D560BB" w:rsidRDefault="00910CB5" w:rsidP="00AA411B">
            <w:pPr>
              <w:rPr>
                <w:color w:val="auto"/>
                <w:sz w:val="22"/>
                <w:szCs w:val="22"/>
                <w:lang w:val="en-US"/>
              </w:rPr>
            </w:pPr>
            <w:r w:rsidRPr="00D560BB">
              <w:rPr>
                <w:color w:val="auto"/>
                <w:sz w:val="22"/>
                <w:szCs w:val="22"/>
              </w:rPr>
              <w:t>собственные средства предприятий</w:t>
            </w:r>
          </w:p>
          <w:p w:rsidR="00910CB5" w:rsidRPr="00D560BB" w:rsidRDefault="00910CB5" w:rsidP="00AA411B">
            <w:pPr>
              <w:rPr>
                <w:color w:val="auto"/>
                <w:sz w:val="22"/>
                <w:szCs w:val="22"/>
                <w:lang w:val="en-US"/>
              </w:rPr>
            </w:pPr>
          </w:p>
          <w:p w:rsidR="00910CB5" w:rsidRPr="00D560BB" w:rsidRDefault="00910CB5" w:rsidP="00AA411B">
            <w:pPr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>млн. руб.</w:t>
            </w:r>
          </w:p>
          <w:p w:rsidR="00910CB5" w:rsidRPr="00D560BB" w:rsidRDefault="00910CB5" w:rsidP="00AA411B">
            <w:pPr>
              <w:jc w:val="center"/>
              <w:rPr>
                <w:color w:val="auto"/>
              </w:rPr>
            </w:pPr>
            <w:r w:rsidRPr="00D560BB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60BB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60BB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525AE5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25AE5">
              <w:rPr>
                <w:color w:val="auto"/>
                <w:sz w:val="22"/>
                <w:szCs w:val="22"/>
              </w:rPr>
              <w:t>1 449,8</w:t>
            </w:r>
            <w:r w:rsidRPr="00525AE5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910CB5" w:rsidRPr="00E40908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2 632,5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10CB5" w:rsidRPr="00E40908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13</w:t>
            </w:r>
            <w:r>
              <w:rPr>
                <w:color w:val="auto"/>
                <w:sz w:val="22"/>
                <w:szCs w:val="22"/>
              </w:rPr>
              <w:t> 608,5</w:t>
            </w:r>
            <w:r w:rsidRPr="00E40908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AD3FD7" w:rsidRDefault="00910CB5" w:rsidP="00AA411B">
            <w:pPr>
              <w:rPr>
                <w:b/>
                <w:color w:val="FF0000"/>
                <w:sz w:val="22"/>
                <w:szCs w:val="22"/>
              </w:rPr>
            </w:pPr>
            <w:r w:rsidRPr="00C2787D">
              <w:rPr>
                <w:b/>
                <w:color w:val="auto"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  <w:r w:rsidRPr="008F2AFB">
              <w:rPr>
                <w:b/>
                <w:color w:val="FFFFFF" w:themeColor="background1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910CB5" w:rsidRPr="0013436A" w:rsidRDefault="00910CB5" w:rsidP="00AA411B">
            <w:pPr>
              <w:jc w:val="center"/>
              <w:rPr>
                <w:color w:val="auto"/>
              </w:rPr>
            </w:pPr>
            <w:r w:rsidRPr="0013436A">
              <w:rPr>
                <w:color w:val="auto"/>
              </w:rPr>
              <w:t>млн. руб.</w:t>
            </w:r>
          </w:p>
          <w:p w:rsidR="00910CB5" w:rsidRPr="00AD3FD7" w:rsidRDefault="00910CB5" w:rsidP="00AA411B">
            <w:pPr>
              <w:jc w:val="center"/>
              <w:rPr>
                <w:color w:val="FF0000"/>
              </w:rPr>
            </w:pPr>
            <w:r w:rsidRPr="0013436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13436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13436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910CB5" w:rsidRPr="00525AE5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25AE5">
              <w:rPr>
                <w:color w:val="auto"/>
                <w:sz w:val="22"/>
                <w:szCs w:val="22"/>
              </w:rPr>
              <w:t>2 314,6</w:t>
            </w:r>
          </w:p>
        </w:tc>
        <w:tc>
          <w:tcPr>
            <w:tcW w:w="1276" w:type="dxa"/>
          </w:tcPr>
          <w:p w:rsidR="00910CB5" w:rsidRPr="00525AE5" w:rsidRDefault="00910CB5" w:rsidP="00AA411B">
            <w:pPr>
              <w:jc w:val="center"/>
              <w:rPr>
                <w:color w:val="auto"/>
                <w:sz w:val="22"/>
                <w:szCs w:val="22"/>
              </w:rPr>
            </w:pPr>
            <w:r w:rsidRPr="00525AE5">
              <w:rPr>
                <w:color w:val="auto"/>
                <w:sz w:val="22"/>
                <w:szCs w:val="22"/>
              </w:rPr>
              <w:t>-1 968,4</w:t>
            </w:r>
          </w:p>
        </w:tc>
        <w:tc>
          <w:tcPr>
            <w:tcW w:w="1134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  <w:r w:rsidRPr="00E40908">
              <w:rPr>
                <w:color w:val="auto"/>
                <w:sz w:val="22"/>
                <w:szCs w:val="22"/>
              </w:rPr>
              <w:t>3 449,8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AD3FD7" w:rsidRDefault="00910CB5" w:rsidP="00AA411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2787D">
              <w:rPr>
                <w:b/>
                <w:bCs/>
                <w:color w:val="auto"/>
                <w:sz w:val="22"/>
                <w:szCs w:val="22"/>
              </w:rPr>
              <w:t>7. Труд и занятость</w:t>
            </w:r>
          </w:p>
        </w:tc>
        <w:tc>
          <w:tcPr>
            <w:tcW w:w="1559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0CB5" w:rsidRPr="00AD3FD7" w:rsidRDefault="00910CB5" w:rsidP="00AA41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95076B" w:rsidRDefault="00910CB5" w:rsidP="00AA411B">
            <w:pPr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Численность населения в трудоспособном возрасте (среднегодовая)</w:t>
            </w:r>
          </w:p>
        </w:tc>
        <w:tc>
          <w:tcPr>
            <w:tcW w:w="1559" w:type="dxa"/>
          </w:tcPr>
          <w:p w:rsidR="00910CB5" w:rsidRPr="0095076B" w:rsidRDefault="00910CB5" w:rsidP="00AA411B">
            <w:pPr>
              <w:jc w:val="center"/>
              <w:rPr>
                <w:color w:val="auto"/>
              </w:rPr>
            </w:pPr>
            <w:r w:rsidRPr="0095076B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910CB5" w:rsidRPr="0095076B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5076B">
              <w:rPr>
                <w:color w:val="auto"/>
                <w:sz w:val="22"/>
                <w:szCs w:val="22"/>
              </w:rPr>
              <w:t>18,632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95076B" w:rsidRDefault="00910CB5" w:rsidP="00AA411B">
            <w:pPr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</w:tcPr>
          <w:p w:rsidR="00910CB5" w:rsidRPr="0095076B" w:rsidRDefault="00910CB5" w:rsidP="00AA411B">
            <w:pPr>
              <w:jc w:val="center"/>
              <w:rPr>
                <w:color w:val="auto"/>
              </w:rPr>
            </w:pPr>
            <w:r w:rsidRPr="0095076B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910CB5" w:rsidRPr="0095076B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0,120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95076B" w:rsidRDefault="00910CB5" w:rsidP="00AA411B">
            <w:pPr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 xml:space="preserve">Уровень зарегистрированной безработицы (к трудоспособному </w:t>
            </w:r>
            <w:r w:rsidRPr="0095076B">
              <w:rPr>
                <w:color w:val="auto"/>
                <w:sz w:val="22"/>
                <w:szCs w:val="22"/>
              </w:rPr>
              <w:lastRenderedPageBreak/>
              <w:t>населению)</w:t>
            </w:r>
          </w:p>
        </w:tc>
        <w:tc>
          <w:tcPr>
            <w:tcW w:w="1559" w:type="dxa"/>
          </w:tcPr>
          <w:p w:rsidR="00910CB5" w:rsidRPr="0095076B" w:rsidRDefault="00910CB5" w:rsidP="00AA411B">
            <w:pPr>
              <w:jc w:val="center"/>
              <w:rPr>
                <w:color w:val="auto"/>
              </w:rPr>
            </w:pPr>
            <w:r w:rsidRPr="0095076B">
              <w:rPr>
                <w:color w:val="auto"/>
              </w:rPr>
              <w:lastRenderedPageBreak/>
              <w:t>%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910CB5" w:rsidRPr="0095076B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0,6</w:t>
            </w:r>
          </w:p>
        </w:tc>
      </w:tr>
      <w:tr w:rsidR="00910CB5" w:rsidRPr="003B2ABF" w:rsidTr="00C1382B">
        <w:trPr>
          <w:trHeight w:val="170"/>
        </w:trPr>
        <w:tc>
          <w:tcPr>
            <w:tcW w:w="4116" w:type="dxa"/>
          </w:tcPr>
          <w:p w:rsidR="00910CB5" w:rsidRPr="0095076B" w:rsidRDefault="00910CB5" w:rsidP="00AA411B">
            <w:pPr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lastRenderedPageBreak/>
              <w:t xml:space="preserve">Среднесписочная численность работников организаций (без субъектов малого предпринимательства) </w:t>
            </w:r>
          </w:p>
        </w:tc>
        <w:tc>
          <w:tcPr>
            <w:tcW w:w="1559" w:type="dxa"/>
          </w:tcPr>
          <w:p w:rsidR="00910CB5" w:rsidRPr="0095076B" w:rsidRDefault="00910CB5" w:rsidP="00AA411B">
            <w:pPr>
              <w:jc w:val="center"/>
              <w:rPr>
                <w:color w:val="auto"/>
              </w:rPr>
            </w:pPr>
            <w:r w:rsidRPr="0095076B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F4EAC">
              <w:rPr>
                <w:color w:val="auto"/>
                <w:sz w:val="22"/>
                <w:szCs w:val="22"/>
                <w:lang w:val="en-US"/>
              </w:rPr>
              <w:t>10</w:t>
            </w:r>
            <w:r w:rsidRPr="001F4EAC">
              <w:rPr>
                <w:color w:val="auto"/>
                <w:sz w:val="22"/>
                <w:szCs w:val="22"/>
              </w:rPr>
              <w:t>,</w:t>
            </w:r>
            <w:r w:rsidRPr="001F4EAC">
              <w:rPr>
                <w:color w:val="auto"/>
                <w:sz w:val="22"/>
                <w:szCs w:val="22"/>
                <w:lang w:val="en-US"/>
              </w:rPr>
              <w:t>192</w:t>
            </w:r>
          </w:p>
        </w:tc>
        <w:tc>
          <w:tcPr>
            <w:tcW w:w="1276" w:type="dxa"/>
          </w:tcPr>
          <w:p w:rsidR="00910CB5" w:rsidRPr="001F4EAC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1F4EAC">
              <w:rPr>
                <w:color w:val="auto"/>
                <w:sz w:val="22"/>
                <w:szCs w:val="22"/>
              </w:rPr>
              <w:t>9,438</w:t>
            </w:r>
          </w:p>
        </w:tc>
        <w:tc>
          <w:tcPr>
            <w:tcW w:w="1134" w:type="dxa"/>
          </w:tcPr>
          <w:p w:rsidR="00910CB5" w:rsidRPr="0095076B" w:rsidRDefault="00910CB5" w:rsidP="00AA411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5076B">
              <w:rPr>
                <w:color w:val="auto"/>
                <w:sz w:val="22"/>
                <w:szCs w:val="22"/>
              </w:rPr>
              <w:t>9,438</w:t>
            </w:r>
          </w:p>
        </w:tc>
      </w:tr>
    </w:tbl>
    <w:p w:rsidR="00C1382B" w:rsidRDefault="00C1382B" w:rsidP="005B0E8F">
      <w:pPr>
        <w:ind w:firstLine="709"/>
        <w:jc w:val="both"/>
        <w:rPr>
          <w:color w:val="FF0000"/>
          <w:sz w:val="24"/>
          <w:szCs w:val="24"/>
        </w:rPr>
      </w:pPr>
    </w:p>
    <w:p w:rsidR="00910CB5" w:rsidRPr="0016289A" w:rsidRDefault="00910CB5" w:rsidP="00910CB5">
      <w:pPr>
        <w:pStyle w:val="af6"/>
        <w:jc w:val="both"/>
      </w:pPr>
      <w:r>
        <w:rPr>
          <w:vertAlign w:val="superscript"/>
        </w:rPr>
        <w:t>1</w:t>
      </w:r>
      <w:r>
        <w:t xml:space="preserve"> </w:t>
      </w:r>
      <w:r w:rsidRPr="0016289A">
        <w:t xml:space="preserve">Администрация </w:t>
      </w:r>
      <w:proofErr w:type="spellStart"/>
      <w:r w:rsidRPr="0016289A">
        <w:t>Печенгского</w:t>
      </w:r>
      <w:proofErr w:type="spellEnd"/>
      <w:r w:rsidRPr="0016289A">
        <w:t xml:space="preserve"> муниципального округа данными не располагает. Сведения </w:t>
      </w:r>
      <w:proofErr w:type="spellStart"/>
      <w:r w:rsidRPr="0016289A">
        <w:t>Мурманскстатом</w:t>
      </w:r>
      <w:proofErr w:type="spellEnd"/>
      <w:r w:rsidRPr="0016289A">
        <w:t xml:space="preserve">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учёте и системе государственной статистики в Российской Федерации» (ст. 4 п. 5; ст. 9 п. 1)</w:t>
      </w:r>
    </w:p>
    <w:p w:rsidR="00910CB5" w:rsidRPr="0016289A" w:rsidRDefault="00910CB5" w:rsidP="00910CB5">
      <w:pPr>
        <w:pStyle w:val="af6"/>
        <w:jc w:val="both"/>
      </w:pPr>
      <w:r w:rsidRPr="0016289A">
        <w:rPr>
          <w:vertAlign w:val="superscript"/>
        </w:rPr>
        <w:t xml:space="preserve">2 </w:t>
      </w:r>
      <w:r w:rsidRPr="0016289A">
        <w:t>Статистические данные отсутствуют. При расчете применена экспертная оценка.</w:t>
      </w:r>
    </w:p>
    <w:p w:rsidR="00910CB5" w:rsidRPr="0016289A" w:rsidRDefault="00910CB5" w:rsidP="00910CB5">
      <w:pPr>
        <w:pStyle w:val="af6"/>
        <w:jc w:val="both"/>
      </w:pPr>
      <w:proofErr w:type="gramStart"/>
      <w:r w:rsidRPr="0016289A">
        <w:rPr>
          <w:vertAlign w:val="superscript"/>
        </w:rPr>
        <w:t>3</w:t>
      </w:r>
      <w:r w:rsidRPr="0016289A">
        <w:t xml:space="preserve">По юридическим лицам, кроме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16289A">
        <w:t>некредитных</w:t>
      </w:r>
      <w:proofErr w:type="spellEnd"/>
      <w:r w:rsidRPr="0016289A">
        <w:t xml:space="preserve"> финансовых организаций, а также организаций, у которых в течение двух предыдущих лет средняя численность работников не</w:t>
      </w:r>
      <w:r w:rsidRPr="00FC09E1">
        <w:rPr>
          <w:sz w:val="22"/>
          <w:szCs w:val="22"/>
        </w:rPr>
        <w:t xml:space="preserve"> </w:t>
      </w:r>
      <w:r w:rsidRPr="0016289A">
        <w:t>превышает 15 человек, включая работающих по совместительству и договорам  гражданско-правового характера, и в течение двух предыдущих лет годовой оборот организации не превышает 800 млн. рублей</w:t>
      </w:r>
      <w:r w:rsidR="00FD2F9C">
        <w:t>.</w:t>
      </w:r>
      <w:proofErr w:type="gramEnd"/>
    </w:p>
    <w:p w:rsidR="00910CB5" w:rsidRDefault="00910CB5" w:rsidP="00FD2F9C">
      <w:pPr>
        <w:jc w:val="both"/>
        <w:rPr>
          <w:color w:val="FF0000"/>
          <w:sz w:val="24"/>
          <w:szCs w:val="24"/>
        </w:rPr>
      </w:pPr>
      <w:r w:rsidRPr="0016289A">
        <w:rPr>
          <w:vertAlign w:val="superscript"/>
        </w:rPr>
        <w:t>4</w:t>
      </w:r>
      <w:r w:rsidRPr="0016289A">
        <w:t xml:space="preserve">При </w:t>
      </w:r>
      <w:proofErr w:type="gramStart"/>
      <w:r w:rsidRPr="0016289A">
        <w:t>расчете</w:t>
      </w:r>
      <w:proofErr w:type="gramEnd"/>
      <w:r w:rsidRPr="0016289A">
        <w:t xml:space="preserve"> применена экспертная оценка с учетом </w:t>
      </w:r>
      <w:proofErr w:type="spellStart"/>
      <w:r w:rsidRPr="0016289A">
        <w:t>досчета</w:t>
      </w:r>
      <w:proofErr w:type="spellEnd"/>
      <w:r w:rsidRPr="0016289A">
        <w:t xml:space="preserve"> по субъектам малого предпринимательства</w:t>
      </w:r>
      <w:r w:rsidR="00FD2F9C">
        <w:t>.</w:t>
      </w:r>
    </w:p>
    <w:p w:rsidR="00910CB5" w:rsidRDefault="00910CB5" w:rsidP="005B0E8F">
      <w:pPr>
        <w:ind w:firstLine="709"/>
        <w:jc w:val="both"/>
        <w:rPr>
          <w:color w:val="FF0000"/>
          <w:sz w:val="24"/>
          <w:szCs w:val="24"/>
        </w:rPr>
      </w:pPr>
    </w:p>
    <w:p w:rsidR="00910CB5" w:rsidRDefault="00910CB5" w:rsidP="005B0E8F">
      <w:pPr>
        <w:ind w:firstLine="709"/>
        <w:jc w:val="both"/>
        <w:rPr>
          <w:color w:val="FF0000"/>
          <w:sz w:val="24"/>
          <w:szCs w:val="24"/>
        </w:rPr>
      </w:pPr>
    </w:p>
    <w:p w:rsidR="00AE3CF0" w:rsidRPr="0092573E" w:rsidRDefault="00AE3CF0" w:rsidP="005B0E8F">
      <w:pPr>
        <w:ind w:firstLine="709"/>
        <w:jc w:val="both"/>
        <w:rPr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p w:rsidR="00FD2F9C" w:rsidRPr="0078413A" w:rsidRDefault="00FD2F9C" w:rsidP="00FD2F9C">
      <w:pPr>
        <w:widowControl w:val="0"/>
        <w:jc w:val="center"/>
        <w:rPr>
          <w:b/>
          <w:bCs/>
          <w:color w:val="auto"/>
          <w:sz w:val="24"/>
          <w:szCs w:val="24"/>
        </w:rPr>
      </w:pPr>
      <w:r w:rsidRPr="0078413A">
        <w:rPr>
          <w:b/>
          <w:bCs/>
          <w:color w:val="auto"/>
          <w:sz w:val="24"/>
          <w:szCs w:val="24"/>
        </w:rPr>
        <w:t>ПОЯСНИТЕЛЬНАЯ ЗАПИСКА</w:t>
      </w:r>
    </w:p>
    <w:p w:rsidR="00FD2F9C" w:rsidRPr="0078413A" w:rsidRDefault="00FD2F9C" w:rsidP="00FD2F9C">
      <w:pPr>
        <w:widowControl w:val="0"/>
        <w:jc w:val="center"/>
        <w:rPr>
          <w:b/>
          <w:bCs/>
          <w:color w:val="auto"/>
          <w:sz w:val="24"/>
          <w:szCs w:val="24"/>
        </w:rPr>
      </w:pPr>
      <w:r w:rsidRPr="0078413A">
        <w:rPr>
          <w:b/>
          <w:bCs/>
          <w:color w:val="auto"/>
          <w:sz w:val="24"/>
          <w:szCs w:val="24"/>
        </w:rPr>
        <w:t>к предварительным итогам социально-экономического развития</w:t>
      </w:r>
    </w:p>
    <w:p w:rsidR="00FD2F9C" w:rsidRPr="0078413A" w:rsidRDefault="00FD2F9C" w:rsidP="00FD2F9C">
      <w:pPr>
        <w:widowControl w:val="0"/>
        <w:jc w:val="center"/>
        <w:rPr>
          <w:b/>
          <w:bCs/>
          <w:color w:val="auto"/>
          <w:sz w:val="24"/>
          <w:szCs w:val="24"/>
        </w:rPr>
      </w:pPr>
      <w:proofErr w:type="spellStart"/>
      <w:r w:rsidRPr="0078413A">
        <w:rPr>
          <w:b/>
          <w:bCs/>
          <w:color w:val="auto"/>
          <w:sz w:val="24"/>
          <w:szCs w:val="24"/>
        </w:rPr>
        <w:t>Печенгского</w:t>
      </w:r>
      <w:proofErr w:type="spellEnd"/>
      <w:r w:rsidRPr="0078413A">
        <w:rPr>
          <w:b/>
          <w:bCs/>
          <w:color w:val="auto"/>
          <w:sz w:val="24"/>
          <w:szCs w:val="24"/>
        </w:rPr>
        <w:t xml:space="preserve"> муниципального округа в 1 полугодии 2024 года</w:t>
      </w:r>
    </w:p>
    <w:p w:rsidR="00FD2F9C" w:rsidRPr="0078413A" w:rsidRDefault="00FD2F9C" w:rsidP="00FD2F9C">
      <w:pPr>
        <w:widowControl w:val="0"/>
        <w:jc w:val="center"/>
        <w:rPr>
          <w:b/>
          <w:color w:val="auto"/>
          <w:sz w:val="24"/>
          <w:szCs w:val="24"/>
          <w:highlight w:val="yellow"/>
        </w:rPr>
      </w:pPr>
      <w:r w:rsidRPr="0078413A">
        <w:rPr>
          <w:b/>
          <w:bCs/>
          <w:color w:val="auto"/>
          <w:sz w:val="24"/>
          <w:szCs w:val="24"/>
        </w:rPr>
        <w:t xml:space="preserve">и ожидаемым итогам социально-экономического развития </w:t>
      </w:r>
      <w:proofErr w:type="spellStart"/>
      <w:r w:rsidRPr="0078413A">
        <w:rPr>
          <w:b/>
          <w:bCs/>
          <w:color w:val="auto"/>
          <w:sz w:val="24"/>
          <w:szCs w:val="24"/>
        </w:rPr>
        <w:t>Печенгского</w:t>
      </w:r>
      <w:proofErr w:type="spellEnd"/>
      <w:r w:rsidRPr="0078413A">
        <w:rPr>
          <w:b/>
          <w:bCs/>
          <w:color w:val="auto"/>
          <w:sz w:val="24"/>
          <w:szCs w:val="24"/>
        </w:rPr>
        <w:t xml:space="preserve"> муниципального округа за 2024 год</w:t>
      </w:r>
    </w:p>
    <w:p w:rsidR="00FD2F9C" w:rsidRPr="00AD3FD7" w:rsidRDefault="00FD2F9C" w:rsidP="00FD2F9C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FD2F9C" w:rsidRPr="00AD3FD7" w:rsidRDefault="00FD2F9C" w:rsidP="00FD2F9C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FD2F9C" w:rsidRPr="0078413A" w:rsidRDefault="00FD2F9C" w:rsidP="00FD2F9C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78413A">
        <w:rPr>
          <w:b/>
          <w:color w:val="auto"/>
          <w:sz w:val="24"/>
          <w:szCs w:val="24"/>
        </w:rPr>
        <w:t>Демографические показатели</w:t>
      </w:r>
    </w:p>
    <w:p w:rsidR="00FD2F9C" w:rsidRPr="00AD3FD7" w:rsidRDefault="00FD2F9C" w:rsidP="00FD2F9C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FD2F9C" w:rsidRPr="005A24AA" w:rsidRDefault="00FD2F9C" w:rsidP="00FD2F9C">
      <w:pPr>
        <w:pStyle w:val="Default"/>
        <w:ind w:firstLine="851"/>
        <w:jc w:val="both"/>
        <w:rPr>
          <w:color w:val="auto"/>
          <w:highlight w:val="yellow"/>
        </w:rPr>
      </w:pPr>
      <w:r w:rsidRPr="005A24AA">
        <w:rPr>
          <w:color w:val="auto"/>
        </w:rPr>
        <w:t xml:space="preserve">Демографическая ситуация в </w:t>
      </w:r>
      <w:proofErr w:type="spellStart"/>
      <w:r w:rsidRPr="005A24AA">
        <w:rPr>
          <w:color w:val="auto"/>
        </w:rPr>
        <w:t>Печенгском</w:t>
      </w:r>
      <w:proofErr w:type="spellEnd"/>
      <w:r w:rsidRPr="005A24AA">
        <w:rPr>
          <w:color w:val="auto"/>
        </w:rPr>
        <w:t xml:space="preserve"> муниципальном округе в 2023 году характеризовалась естественной и миграционной убылью населения. </w:t>
      </w:r>
    </w:p>
    <w:p w:rsidR="00FD2F9C" w:rsidRPr="009E0877" w:rsidRDefault="00FD2F9C" w:rsidP="00FD2F9C">
      <w:pPr>
        <w:pStyle w:val="Default"/>
        <w:ind w:firstLine="851"/>
        <w:jc w:val="both"/>
        <w:rPr>
          <w:color w:val="auto"/>
        </w:rPr>
      </w:pPr>
      <w:r w:rsidRPr="005A24AA">
        <w:rPr>
          <w:color w:val="auto"/>
        </w:rPr>
        <w:t>По данным Росстата в 2023 году родилось 262 ребенка, что на 13,5 % (41 ребенк</w:t>
      </w:r>
      <w:r>
        <w:rPr>
          <w:color w:val="auto"/>
        </w:rPr>
        <w:t>а</w:t>
      </w:r>
      <w:r w:rsidRPr="005A24AA">
        <w:rPr>
          <w:color w:val="auto"/>
        </w:rPr>
        <w:t xml:space="preserve">) меньше, чем в 2022 году. </w:t>
      </w:r>
      <w:proofErr w:type="gramStart"/>
      <w:r w:rsidRPr="009E0877">
        <w:rPr>
          <w:color w:val="auto"/>
        </w:rPr>
        <w:t>Численность новорожденных в городских населенных пунктах округа в 2023 году составила 250 человек, в сельских – 12 (в 2022 году – 281 и 22 человека соответственно).</w:t>
      </w:r>
      <w:proofErr w:type="gramEnd"/>
      <w:r>
        <w:rPr>
          <w:color w:val="auto"/>
        </w:rPr>
        <w:t xml:space="preserve"> </w:t>
      </w:r>
      <w:r w:rsidRPr="005A24AA">
        <w:rPr>
          <w:color w:val="auto"/>
        </w:rPr>
        <w:t xml:space="preserve">Показатель рождаемости составил 8,7 </w:t>
      </w:r>
      <w:proofErr w:type="gramStart"/>
      <w:r w:rsidRPr="005A24AA">
        <w:rPr>
          <w:color w:val="auto"/>
        </w:rPr>
        <w:t>родившихся</w:t>
      </w:r>
      <w:proofErr w:type="gramEnd"/>
      <w:r w:rsidRPr="005A24AA">
        <w:rPr>
          <w:color w:val="auto"/>
        </w:rPr>
        <w:t xml:space="preserve"> в расчёте на 1 000 населения (аналогичный показатель 2022 года – 9,7 родившихся в расчёте на 1000 населения), и, как и в 2022 году, остается выше уровня </w:t>
      </w:r>
      <w:proofErr w:type="spellStart"/>
      <w:r w:rsidRPr="005A24AA">
        <w:rPr>
          <w:color w:val="auto"/>
        </w:rPr>
        <w:t>среднеобластного</w:t>
      </w:r>
      <w:proofErr w:type="spellEnd"/>
      <w:r w:rsidRPr="005A24AA">
        <w:rPr>
          <w:color w:val="auto"/>
        </w:rPr>
        <w:t xml:space="preserve"> значения (8,3). </w:t>
      </w:r>
      <w:r>
        <w:rPr>
          <w:color w:val="auto"/>
        </w:rPr>
        <w:t xml:space="preserve"> </w:t>
      </w:r>
    </w:p>
    <w:p w:rsidR="00FD2F9C" w:rsidRPr="00261EAE" w:rsidRDefault="00FD2F9C" w:rsidP="00FD2F9C">
      <w:pPr>
        <w:pStyle w:val="Default"/>
        <w:ind w:firstLine="851"/>
        <w:jc w:val="both"/>
        <w:rPr>
          <w:color w:val="FF0000"/>
        </w:rPr>
      </w:pPr>
      <w:r w:rsidRPr="008B30A8">
        <w:rPr>
          <w:color w:val="auto"/>
        </w:rPr>
        <w:t xml:space="preserve">Средний возраст матери при рождении ребенка в 2023 году в </w:t>
      </w:r>
      <w:proofErr w:type="spellStart"/>
      <w:r w:rsidRPr="008B30A8">
        <w:rPr>
          <w:color w:val="auto"/>
        </w:rPr>
        <w:t>Печенгском</w:t>
      </w:r>
      <w:proofErr w:type="spellEnd"/>
      <w:r w:rsidRPr="008B30A8">
        <w:rPr>
          <w:color w:val="auto"/>
        </w:rPr>
        <w:t xml:space="preserve"> муниципальном округе </w:t>
      </w:r>
      <w:r w:rsidRPr="00261EAE">
        <w:rPr>
          <w:color w:val="auto"/>
        </w:rPr>
        <w:t>составил 28 лет, суммарный коэффициент рождаемости</w:t>
      </w:r>
      <w:r>
        <w:rPr>
          <w:color w:val="1A1A1A"/>
          <w:spacing w:val="-6"/>
          <w:sz w:val="29"/>
          <w:szCs w:val="29"/>
          <w:shd w:val="clear" w:color="auto" w:fill="FFFFFF"/>
        </w:rPr>
        <w:t> </w:t>
      </w:r>
      <w:r w:rsidRPr="004F1383">
        <w:rPr>
          <w:color w:val="1A1A1A"/>
          <w:spacing w:val="-6"/>
          <w:shd w:val="clear" w:color="auto" w:fill="FFFFFF"/>
        </w:rPr>
        <w:t>(число детей, рожденных в среднем одной женщиной за всю жизнь)</w:t>
      </w:r>
      <w:r w:rsidRPr="00261EAE">
        <w:rPr>
          <w:color w:val="auto"/>
        </w:rPr>
        <w:t xml:space="preserve"> </w:t>
      </w:r>
      <w:r>
        <w:rPr>
          <w:color w:val="auto"/>
        </w:rPr>
        <w:t>превысил областной (1,45) и составил</w:t>
      </w:r>
      <w:r w:rsidRPr="00261EAE">
        <w:rPr>
          <w:color w:val="auto"/>
        </w:rPr>
        <w:t xml:space="preserve"> 1,53</w:t>
      </w:r>
      <w:r>
        <w:rPr>
          <w:color w:val="auto"/>
        </w:rPr>
        <w:t>.</w:t>
      </w:r>
    </w:p>
    <w:p w:rsidR="00FD2F9C" w:rsidRPr="00AD3FD7" w:rsidRDefault="00FD2F9C" w:rsidP="00FD2F9C">
      <w:pPr>
        <w:pStyle w:val="Default"/>
        <w:ind w:firstLine="851"/>
        <w:jc w:val="both"/>
        <w:rPr>
          <w:color w:val="FF0000"/>
        </w:rPr>
      </w:pPr>
      <w:r w:rsidRPr="005A24AA">
        <w:rPr>
          <w:color w:val="auto"/>
        </w:rPr>
        <w:t>В 2023 году умерло 374 человека</w:t>
      </w:r>
      <w:r>
        <w:rPr>
          <w:color w:val="auto"/>
        </w:rPr>
        <w:t xml:space="preserve">, что </w:t>
      </w:r>
      <w:r w:rsidRPr="005A24AA">
        <w:rPr>
          <w:color w:val="auto"/>
        </w:rPr>
        <w:t xml:space="preserve">выше уровня предыдущего года на 7,8 % (347 смертей в 2022 году). </w:t>
      </w:r>
      <w:r>
        <w:rPr>
          <w:color w:val="auto"/>
        </w:rPr>
        <w:t xml:space="preserve">Смертность среди городского населения округа в 2023 году составила 359 человек, сельского – 15 человек (в 2022 году – 339 и 8 смертей соответственно). </w:t>
      </w:r>
      <w:r w:rsidRPr="005A24AA">
        <w:rPr>
          <w:color w:val="auto"/>
        </w:rPr>
        <w:t xml:space="preserve">Общий коэффициент смертности в 2023 году составил 12,4 </w:t>
      </w:r>
      <w:proofErr w:type="gramStart"/>
      <w:r w:rsidRPr="005A24AA">
        <w:rPr>
          <w:color w:val="auto"/>
        </w:rPr>
        <w:t>умерших</w:t>
      </w:r>
      <w:proofErr w:type="gramEnd"/>
      <w:r w:rsidRPr="005A24AA">
        <w:rPr>
          <w:color w:val="auto"/>
        </w:rPr>
        <w:t xml:space="preserve"> на 1 000 населения (в 2022 году – 11,1), что ниже уровня </w:t>
      </w:r>
      <w:proofErr w:type="spellStart"/>
      <w:r w:rsidRPr="005A24AA">
        <w:rPr>
          <w:color w:val="auto"/>
        </w:rPr>
        <w:t>среднеобластного</w:t>
      </w:r>
      <w:proofErr w:type="spellEnd"/>
      <w:r w:rsidRPr="005A24AA">
        <w:rPr>
          <w:color w:val="auto"/>
        </w:rPr>
        <w:t xml:space="preserve"> значения (12,7). </w:t>
      </w:r>
    </w:p>
    <w:p w:rsidR="00FD2F9C" w:rsidRPr="00AD3FD7" w:rsidRDefault="00FD2F9C" w:rsidP="00FD2F9C">
      <w:pPr>
        <w:pStyle w:val="Default"/>
        <w:ind w:firstLine="851"/>
        <w:jc w:val="both"/>
        <w:rPr>
          <w:color w:val="FF0000"/>
        </w:rPr>
      </w:pPr>
      <w:r w:rsidRPr="007B35E3">
        <w:rPr>
          <w:color w:val="auto"/>
        </w:rPr>
        <w:t xml:space="preserve">По итогам 2023 года на территории </w:t>
      </w:r>
      <w:proofErr w:type="spellStart"/>
      <w:r w:rsidRPr="007B35E3">
        <w:rPr>
          <w:color w:val="auto"/>
        </w:rPr>
        <w:t>Печенгского</w:t>
      </w:r>
      <w:proofErr w:type="spellEnd"/>
      <w:r w:rsidRPr="007B35E3">
        <w:rPr>
          <w:color w:val="auto"/>
        </w:rPr>
        <w:t xml:space="preserve"> муниципального округа четвертый год подряд после более чем десятилетнего периода естественного прироста, отмечается естественная убыль населения  – 112 человек</w:t>
      </w:r>
      <w:r>
        <w:rPr>
          <w:color w:val="auto"/>
        </w:rPr>
        <w:t xml:space="preserve"> (в 2022 году </w:t>
      </w:r>
      <w:r w:rsidRPr="007B35E3">
        <w:rPr>
          <w:color w:val="auto"/>
        </w:rPr>
        <w:t>–</w:t>
      </w:r>
      <w:r>
        <w:rPr>
          <w:color w:val="auto"/>
        </w:rPr>
        <w:t xml:space="preserve"> -44 человека)</w:t>
      </w:r>
      <w:r w:rsidRPr="007B35E3">
        <w:rPr>
          <w:color w:val="auto"/>
        </w:rPr>
        <w:t xml:space="preserve">. </w:t>
      </w:r>
      <w:r>
        <w:rPr>
          <w:color w:val="auto"/>
        </w:rPr>
        <w:t>При этом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показатель естественной убыли городского населения – 109 человек, сельского – 3 человека. </w:t>
      </w:r>
      <w:r w:rsidRPr="007B35E3">
        <w:rPr>
          <w:color w:val="auto"/>
        </w:rPr>
        <w:t xml:space="preserve">Коэффициент естественной убыли населения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</w:t>
      </w:r>
      <w:r>
        <w:rPr>
          <w:color w:val="auto"/>
        </w:rPr>
        <w:lastRenderedPageBreak/>
        <w:t xml:space="preserve">округа </w:t>
      </w:r>
      <w:r w:rsidRPr="007B35E3">
        <w:rPr>
          <w:color w:val="auto"/>
        </w:rPr>
        <w:t>за 2023 год составил 3,7 человека на 1 000 населения, против аналогичного показателя за 2022 год</w:t>
      </w:r>
      <w:r>
        <w:rPr>
          <w:color w:val="auto"/>
        </w:rPr>
        <w:t>,</w:t>
      </w:r>
      <w:r w:rsidRPr="007B35E3">
        <w:rPr>
          <w:color w:val="auto"/>
        </w:rPr>
        <w:t xml:space="preserve"> равного 1,4 человека на 1 000 населения.</w:t>
      </w:r>
      <w:r>
        <w:rPr>
          <w:color w:val="auto"/>
        </w:rPr>
        <w:t xml:space="preserve"> </w:t>
      </w:r>
    </w:p>
    <w:p w:rsidR="00FD2F9C" w:rsidRPr="00AD3FD7" w:rsidRDefault="00FD2F9C" w:rsidP="00FD2F9C">
      <w:pPr>
        <w:pStyle w:val="Default"/>
        <w:ind w:firstLine="851"/>
        <w:jc w:val="both"/>
        <w:rPr>
          <w:color w:val="FF0000"/>
        </w:rPr>
      </w:pPr>
      <w:r w:rsidRPr="009D41F5">
        <w:rPr>
          <w:color w:val="auto"/>
        </w:rPr>
        <w:t xml:space="preserve">В </w:t>
      </w:r>
      <w:r w:rsidRPr="00DE49BC">
        <w:rPr>
          <w:color w:val="auto"/>
        </w:rPr>
        <w:t>202</w:t>
      </w:r>
      <w:r>
        <w:rPr>
          <w:color w:val="auto"/>
        </w:rPr>
        <w:t>3</w:t>
      </w:r>
      <w:r w:rsidRPr="00DE49BC">
        <w:rPr>
          <w:color w:val="auto"/>
        </w:rPr>
        <w:t xml:space="preserve"> году отмечено </w:t>
      </w:r>
      <w:r>
        <w:rPr>
          <w:color w:val="auto"/>
        </w:rPr>
        <w:t>замедление</w:t>
      </w:r>
      <w:r w:rsidRPr="00DE49BC">
        <w:rPr>
          <w:color w:val="auto"/>
        </w:rPr>
        <w:t xml:space="preserve"> миграционной убыли населения. В </w:t>
      </w:r>
      <w:proofErr w:type="spellStart"/>
      <w:r w:rsidRPr="00DE49BC">
        <w:rPr>
          <w:color w:val="auto"/>
        </w:rPr>
        <w:t>Печенгский</w:t>
      </w:r>
      <w:proofErr w:type="spellEnd"/>
      <w:r w:rsidRPr="00DE49BC">
        <w:rPr>
          <w:color w:val="auto"/>
        </w:rPr>
        <w:t xml:space="preserve"> муниципальный округ в 2023 году прибыло 868 человек ‒ на 7,4 % (69 человек) меньше, чем в 2022 году, убыло 1 715 человек ‒ на 15,8 % (323 человека) меньше, чем в 2022 году.</w:t>
      </w:r>
      <w:r>
        <w:rPr>
          <w:color w:val="auto"/>
        </w:rPr>
        <w:t xml:space="preserve"> Показатель миграционной убыли, как и в 2022 году, сложился в основном за счет населения в трудоспособном возрасте.  К</w:t>
      </w:r>
      <w:r w:rsidRPr="00DE49BC">
        <w:rPr>
          <w:color w:val="auto"/>
        </w:rPr>
        <w:t>оэффициент миграционной убыли снизился с 35,3 в 2022 году до -28,1 человек на 1000 населения в 2023</w:t>
      </w:r>
      <w:r>
        <w:rPr>
          <w:color w:val="auto"/>
        </w:rPr>
        <w:t xml:space="preserve"> году.</w:t>
      </w:r>
    </w:p>
    <w:p w:rsidR="00FD2F9C" w:rsidRPr="00EC4DED" w:rsidRDefault="00FD2F9C" w:rsidP="00FD2F9C">
      <w:pPr>
        <w:pStyle w:val="Default"/>
        <w:ind w:firstLine="851"/>
        <w:jc w:val="both"/>
        <w:rPr>
          <w:color w:val="auto"/>
        </w:rPr>
      </w:pPr>
      <w:r w:rsidRPr="00EC4DED">
        <w:rPr>
          <w:color w:val="auto"/>
        </w:rPr>
        <w:t xml:space="preserve">Миграционная и естественная убыли обусловили дальнейшее сокращение численности населения </w:t>
      </w:r>
      <w:proofErr w:type="spellStart"/>
      <w:r w:rsidRPr="00EC4DED">
        <w:rPr>
          <w:color w:val="auto"/>
        </w:rPr>
        <w:t>Печенгского</w:t>
      </w:r>
      <w:proofErr w:type="spellEnd"/>
      <w:r w:rsidRPr="00EC4DED">
        <w:rPr>
          <w:color w:val="auto"/>
        </w:rPr>
        <w:t xml:space="preserve"> муниципального округа. Среднегодовая численность населения </w:t>
      </w:r>
      <w:proofErr w:type="spellStart"/>
      <w:r w:rsidRPr="00EC4DED">
        <w:rPr>
          <w:color w:val="auto"/>
        </w:rPr>
        <w:t>Печенгского</w:t>
      </w:r>
      <w:proofErr w:type="spellEnd"/>
      <w:r w:rsidRPr="00EC4DED">
        <w:rPr>
          <w:color w:val="auto"/>
        </w:rPr>
        <w:t xml:space="preserve"> муниципального округа в 2023 году составила 30 112 человек, численность населения на 1 января 2024 года составила 29 632 человека. </w:t>
      </w:r>
    </w:p>
    <w:p w:rsidR="00FD2F9C" w:rsidRPr="00F524EE" w:rsidRDefault="00FD2F9C" w:rsidP="00FD2F9C">
      <w:pPr>
        <w:pStyle w:val="Default"/>
        <w:ind w:firstLine="851"/>
        <w:jc w:val="both"/>
        <w:rPr>
          <w:color w:val="auto"/>
        </w:rPr>
      </w:pPr>
      <w:r w:rsidRPr="00F524EE">
        <w:rPr>
          <w:color w:val="auto"/>
        </w:rPr>
        <w:t xml:space="preserve">По предварительным данным в 1 полугодии 2024 года родилось 123 ребенка (за аналогичный период 2023 года – 141 ребенок). Коэффициент рождаемости составил 8,3 </w:t>
      </w:r>
      <w:proofErr w:type="gramStart"/>
      <w:r w:rsidRPr="00F524EE">
        <w:rPr>
          <w:color w:val="auto"/>
        </w:rPr>
        <w:t>родившихся</w:t>
      </w:r>
      <w:proofErr w:type="gramEnd"/>
      <w:r w:rsidRPr="00F524EE">
        <w:rPr>
          <w:color w:val="auto"/>
        </w:rPr>
        <w:t xml:space="preserve"> на 1000 </w:t>
      </w:r>
      <w:r w:rsidRPr="00840D5A">
        <w:rPr>
          <w:color w:val="auto"/>
        </w:rPr>
        <w:t xml:space="preserve">населения (в январе – июне 2023 года – 9,3). </w:t>
      </w:r>
      <w:r w:rsidRPr="00F524EE">
        <w:rPr>
          <w:color w:val="auto"/>
        </w:rPr>
        <w:t xml:space="preserve">В целом за год общее число рождений ожидается на </w:t>
      </w:r>
      <w:r w:rsidRPr="00840D5A">
        <w:rPr>
          <w:color w:val="auto"/>
        </w:rPr>
        <w:t>уровне 248 человек, а коэффициент рождаемости составит 2024 году 8,5 родившихся на 1000 нас</w:t>
      </w:r>
      <w:r w:rsidRPr="00F524EE">
        <w:rPr>
          <w:color w:val="auto"/>
        </w:rPr>
        <w:t xml:space="preserve">еления. </w:t>
      </w:r>
    </w:p>
    <w:p w:rsidR="00FD2F9C" w:rsidRPr="008A320E" w:rsidRDefault="00FD2F9C" w:rsidP="00FD2F9C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В связи со стабильной эпидемиологической ситуацией 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наблюдается снижение смертности населения. </w:t>
      </w:r>
      <w:r w:rsidRPr="00167B98">
        <w:rPr>
          <w:color w:val="auto"/>
        </w:rPr>
        <w:t xml:space="preserve">Число умерших в 1 полугодии 2024 года составило 153 человека (в аналогичном периоде 2023 года – 205 человек). </w:t>
      </w:r>
      <w:r w:rsidRPr="008A320E">
        <w:rPr>
          <w:color w:val="auto"/>
        </w:rPr>
        <w:t xml:space="preserve">Коэффициент смертности составил 10,3 </w:t>
      </w:r>
      <w:proofErr w:type="gramStart"/>
      <w:r w:rsidRPr="008A320E">
        <w:rPr>
          <w:color w:val="auto"/>
        </w:rPr>
        <w:t>умерших</w:t>
      </w:r>
      <w:proofErr w:type="gramEnd"/>
      <w:r w:rsidRPr="008A320E">
        <w:rPr>
          <w:color w:val="auto"/>
        </w:rPr>
        <w:t xml:space="preserve"> на 1000 населения </w:t>
      </w:r>
      <w:r>
        <w:rPr>
          <w:color w:val="auto"/>
        </w:rPr>
        <w:t xml:space="preserve">против </w:t>
      </w:r>
      <w:r w:rsidRPr="008A320E">
        <w:rPr>
          <w:color w:val="auto"/>
        </w:rPr>
        <w:t xml:space="preserve">13,5 в январе – июне 2023 года. В целом в 2024 году смертность ожидается на уровне 311 человек или 10,7 умерших на 1000 населения (в 2023 году – 12,4). </w:t>
      </w:r>
    </w:p>
    <w:p w:rsidR="00FD2F9C" w:rsidRPr="008A320E" w:rsidRDefault="00FD2F9C" w:rsidP="00FD2F9C">
      <w:pPr>
        <w:pStyle w:val="Default"/>
        <w:ind w:firstLine="709"/>
        <w:jc w:val="both"/>
        <w:rPr>
          <w:color w:val="auto"/>
          <w:highlight w:val="yellow"/>
        </w:rPr>
      </w:pPr>
      <w:proofErr w:type="gramStart"/>
      <w:r>
        <w:rPr>
          <w:color w:val="auto"/>
        </w:rPr>
        <w:t xml:space="preserve">В </w:t>
      </w:r>
      <w:proofErr w:type="spellStart"/>
      <w:r>
        <w:rPr>
          <w:color w:val="auto"/>
        </w:rPr>
        <w:t>Печенгском</w:t>
      </w:r>
      <w:proofErr w:type="spellEnd"/>
      <w:r>
        <w:rPr>
          <w:color w:val="auto"/>
        </w:rPr>
        <w:t xml:space="preserve"> муниципальном округе отмечается снижение естественной убыли населения, которая по и</w:t>
      </w:r>
      <w:r w:rsidRPr="008A320E">
        <w:rPr>
          <w:color w:val="auto"/>
        </w:rPr>
        <w:t xml:space="preserve">тогам 1 полугодия 2024 года составила 30 человек и сократилась в сравнении с аналогичным периода прошлого года </w:t>
      </w:r>
      <w:r>
        <w:rPr>
          <w:color w:val="auto"/>
        </w:rPr>
        <w:t xml:space="preserve">на 34 человека </w:t>
      </w:r>
      <w:r w:rsidRPr="008A320E">
        <w:rPr>
          <w:color w:val="auto"/>
        </w:rPr>
        <w:t>(64 человека в 1 полугодии 2023 года).</w:t>
      </w:r>
      <w:proofErr w:type="gramEnd"/>
      <w:r w:rsidRPr="008A320E">
        <w:rPr>
          <w:color w:val="auto"/>
        </w:rPr>
        <w:t xml:space="preserve"> Коэффициент естественной убыли составил -2,0 человека на 1000 населения (в 1 полугодии 2023 года – -4,2). </w:t>
      </w:r>
      <w:proofErr w:type="gramStart"/>
      <w:r w:rsidRPr="008A320E">
        <w:rPr>
          <w:color w:val="auto"/>
        </w:rPr>
        <w:t>На конец</w:t>
      </w:r>
      <w:proofErr w:type="gramEnd"/>
      <w:r w:rsidRPr="008A320E">
        <w:rPr>
          <w:color w:val="auto"/>
        </w:rPr>
        <w:t xml:space="preserve"> 2024 года естественная убыль ожидается на уровне 63 человек. Коэффициент естественной убыли составит –2,2. </w:t>
      </w:r>
    </w:p>
    <w:p w:rsidR="00FD2F9C" w:rsidRPr="00FC228F" w:rsidRDefault="00FD2F9C" w:rsidP="00FD2F9C">
      <w:pPr>
        <w:pStyle w:val="Default"/>
        <w:ind w:firstLine="709"/>
        <w:jc w:val="both"/>
        <w:rPr>
          <w:color w:val="auto"/>
        </w:rPr>
      </w:pPr>
      <w:r w:rsidRPr="00FC228F">
        <w:rPr>
          <w:color w:val="auto"/>
        </w:rPr>
        <w:t>Миграционная убыль населения за 1 полугодие 2024 года по сравнению с аналогичным периодом 2023 года возросла на 12,9 %, и составила 376 человек (прибыло 395 человек, убыл 771 человек, против 429 и 762 человек соответственно в 1 полугодии 2023 года). По сравнению с аналогичным периодом 2023 года прибыло на 7,9 % меньше, а  уехало - на 1,2 % больше. В целом за 2024 год ожидается миграционная убыль на уровне -850 человек</w:t>
      </w:r>
      <w:r>
        <w:rPr>
          <w:color w:val="auto"/>
        </w:rPr>
        <w:t>, из них в трудоспособном возрасте – 588 человек</w:t>
      </w:r>
      <w:r w:rsidRPr="00FC228F">
        <w:rPr>
          <w:color w:val="auto"/>
        </w:rPr>
        <w:t xml:space="preserve">. Коэффициент миграционной убыли составит -29,1 человек на 1000 населения (-28,1 – в 2023 году). </w:t>
      </w:r>
    </w:p>
    <w:p w:rsidR="00FD2F9C" w:rsidRPr="0029555C" w:rsidRDefault="00FD2F9C" w:rsidP="00FD2F9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среднем за 2024 год</w:t>
      </w:r>
      <w:r w:rsidRPr="0029555C">
        <w:rPr>
          <w:color w:val="auto"/>
        </w:rPr>
        <w:t xml:space="preserve"> ожидаемая численность населения </w:t>
      </w:r>
      <w:proofErr w:type="spellStart"/>
      <w:r w:rsidRPr="0029555C">
        <w:rPr>
          <w:color w:val="auto"/>
        </w:rPr>
        <w:t>Печенгского</w:t>
      </w:r>
      <w:proofErr w:type="spellEnd"/>
      <w:r w:rsidRPr="0029555C">
        <w:rPr>
          <w:color w:val="auto"/>
        </w:rPr>
        <w:t xml:space="preserve"> муниципального округа составит 29 176 человек, или 96,9 % к уровню 2023 года. </w:t>
      </w: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</w:rPr>
      </w:pP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  <w:highlight w:val="yellow"/>
        </w:rPr>
      </w:pPr>
    </w:p>
    <w:p w:rsidR="00FD2F9C" w:rsidRPr="00556745" w:rsidRDefault="00FD2F9C" w:rsidP="00FD2F9C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556745"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FD2F9C" w:rsidRPr="00AD3FD7" w:rsidRDefault="00FD2F9C" w:rsidP="00FD2F9C">
      <w:pPr>
        <w:jc w:val="center"/>
        <w:rPr>
          <w:b/>
          <w:color w:val="FF0000"/>
          <w:sz w:val="24"/>
          <w:szCs w:val="24"/>
        </w:rPr>
      </w:pPr>
    </w:p>
    <w:p w:rsidR="00FD2F9C" w:rsidRPr="00556745" w:rsidRDefault="00FD2F9C" w:rsidP="00FD2F9C">
      <w:pPr>
        <w:jc w:val="center"/>
        <w:rPr>
          <w:b/>
          <w:color w:val="auto"/>
          <w:sz w:val="24"/>
          <w:szCs w:val="24"/>
        </w:rPr>
      </w:pPr>
      <w:r w:rsidRPr="00556745">
        <w:rPr>
          <w:b/>
          <w:color w:val="auto"/>
          <w:sz w:val="24"/>
          <w:szCs w:val="24"/>
        </w:rPr>
        <w:t>2.1. Промышленное производство</w:t>
      </w:r>
    </w:p>
    <w:p w:rsidR="00FD2F9C" w:rsidRPr="00AD3FD7" w:rsidRDefault="00FD2F9C" w:rsidP="00FD2F9C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FD2F9C" w:rsidRPr="00F44A5E" w:rsidRDefault="00FD2F9C" w:rsidP="00FD2F9C">
      <w:pPr>
        <w:ind w:firstLine="708"/>
        <w:jc w:val="both"/>
        <w:rPr>
          <w:color w:val="auto"/>
          <w:sz w:val="24"/>
          <w:szCs w:val="24"/>
        </w:rPr>
      </w:pPr>
      <w:proofErr w:type="gramStart"/>
      <w:r w:rsidRPr="00F44A5E">
        <w:rPr>
          <w:color w:val="auto"/>
          <w:sz w:val="24"/>
          <w:szCs w:val="24"/>
        </w:rPr>
        <w:t xml:space="preserve">Основой экономики </w:t>
      </w:r>
      <w:proofErr w:type="spellStart"/>
      <w:r w:rsidRPr="00F44A5E">
        <w:rPr>
          <w:color w:val="auto"/>
          <w:sz w:val="24"/>
          <w:szCs w:val="24"/>
        </w:rPr>
        <w:t>Печенгского</w:t>
      </w:r>
      <w:proofErr w:type="spellEnd"/>
      <w:r w:rsidRPr="00F44A5E">
        <w:rPr>
          <w:color w:val="auto"/>
          <w:sz w:val="24"/>
          <w:szCs w:val="24"/>
        </w:rPr>
        <w:t xml:space="preserve"> муниципального округа является АО «Кольская ГМК».</w:t>
      </w:r>
      <w:proofErr w:type="gramEnd"/>
    </w:p>
    <w:p w:rsidR="00FD2F9C" w:rsidRPr="009A09C6" w:rsidRDefault="00FD2F9C" w:rsidP="00FD2F9C">
      <w:pPr>
        <w:ind w:firstLine="708"/>
        <w:jc w:val="both"/>
        <w:rPr>
          <w:color w:val="auto"/>
          <w:sz w:val="24"/>
          <w:szCs w:val="24"/>
        </w:rPr>
      </w:pPr>
      <w:r w:rsidRPr="009A09C6">
        <w:rPr>
          <w:color w:val="auto"/>
          <w:sz w:val="24"/>
          <w:szCs w:val="24"/>
        </w:rPr>
        <w:t xml:space="preserve">В 2023 году объемы промышленного производства, выполнение работ и услуг собственными силами крупных и средних организаций по </w:t>
      </w:r>
      <w:proofErr w:type="spellStart"/>
      <w:r w:rsidRPr="009A09C6">
        <w:rPr>
          <w:color w:val="auto"/>
          <w:sz w:val="24"/>
          <w:szCs w:val="24"/>
        </w:rPr>
        <w:t>Печенгскому</w:t>
      </w:r>
      <w:proofErr w:type="spellEnd"/>
      <w:r w:rsidRPr="009A09C6">
        <w:rPr>
          <w:color w:val="auto"/>
          <w:sz w:val="24"/>
          <w:szCs w:val="24"/>
        </w:rPr>
        <w:t xml:space="preserve"> муниципальному округу составили 43 212,0 млн. рублей (106,9 % от уровня 2022 года). </w:t>
      </w:r>
    </w:p>
    <w:p w:rsidR="00FD2F9C" w:rsidRPr="009A09C6" w:rsidRDefault="00FD2F9C" w:rsidP="00FD2F9C">
      <w:pPr>
        <w:ind w:firstLine="720"/>
        <w:jc w:val="both"/>
        <w:rPr>
          <w:color w:val="auto"/>
          <w:sz w:val="24"/>
          <w:szCs w:val="24"/>
        </w:rPr>
      </w:pPr>
      <w:r w:rsidRPr="009A09C6">
        <w:rPr>
          <w:color w:val="auto"/>
          <w:sz w:val="24"/>
          <w:szCs w:val="24"/>
        </w:rPr>
        <w:t xml:space="preserve">Присутствие на территории </w:t>
      </w:r>
      <w:proofErr w:type="spellStart"/>
      <w:r w:rsidRPr="009A09C6">
        <w:rPr>
          <w:color w:val="auto"/>
          <w:sz w:val="24"/>
          <w:szCs w:val="24"/>
        </w:rPr>
        <w:t>Печенгского</w:t>
      </w:r>
      <w:proofErr w:type="spellEnd"/>
      <w:r w:rsidRPr="009A09C6">
        <w:rPr>
          <w:color w:val="auto"/>
          <w:sz w:val="24"/>
          <w:szCs w:val="24"/>
        </w:rPr>
        <w:t xml:space="preserve"> муниципального округа производственных мощностей АО «Кольская ГМК» по-прежнему оказывает значительное влияние на динамику объемов производства смежных и обслуживающих отраслей, так как </w:t>
      </w:r>
      <w:r w:rsidRPr="009A09C6">
        <w:rPr>
          <w:color w:val="auto"/>
          <w:sz w:val="24"/>
          <w:szCs w:val="24"/>
        </w:rPr>
        <w:lastRenderedPageBreak/>
        <w:t xml:space="preserve">градообразующее предприятие является основным заказчиком продукции, работ и услуг у предприятий промышленного и строительного комплекса, расположенных на территории округа. </w:t>
      </w:r>
    </w:p>
    <w:p w:rsidR="00FD2F9C" w:rsidRPr="009A09C6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9A09C6">
        <w:rPr>
          <w:color w:val="auto"/>
          <w:sz w:val="24"/>
          <w:szCs w:val="24"/>
        </w:rPr>
        <w:t xml:space="preserve">По предварительной оценке, объемы промышленного производства, выполнение работ и услуг собственными силами предприятий и организаций по </w:t>
      </w:r>
      <w:proofErr w:type="spellStart"/>
      <w:r w:rsidRPr="009A09C6">
        <w:rPr>
          <w:color w:val="auto"/>
          <w:sz w:val="24"/>
          <w:szCs w:val="24"/>
        </w:rPr>
        <w:t>Печенгскому</w:t>
      </w:r>
      <w:proofErr w:type="spellEnd"/>
      <w:r w:rsidRPr="009A09C6">
        <w:rPr>
          <w:color w:val="auto"/>
          <w:sz w:val="24"/>
          <w:szCs w:val="24"/>
        </w:rPr>
        <w:t xml:space="preserve"> муниципальному округу за 2024</w:t>
      </w:r>
      <w:r w:rsidRPr="009A09C6">
        <w:rPr>
          <w:i/>
          <w:color w:val="auto"/>
          <w:sz w:val="24"/>
          <w:szCs w:val="24"/>
        </w:rPr>
        <w:t xml:space="preserve"> </w:t>
      </w:r>
      <w:r w:rsidRPr="009A09C6">
        <w:rPr>
          <w:color w:val="auto"/>
          <w:sz w:val="24"/>
          <w:szCs w:val="24"/>
        </w:rPr>
        <w:t>год составят 43 856,5 млн. рублей, что составляет 101,5%  показателей прошлого года, в том числе:</w:t>
      </w:r>
    </w:p>
    <w:p w:rsidR="00FD2F9C" w:rsidRPr="00AD3FD7" w:rsidRDefault="00FD2F9C" w:rsidP="00FD2F9C">
      <w:pPr>
        <w:ind w:firstLine="709"/>
        <w:jc w:val="both"/>
        <w:rPr>
          <w:color w:val="FF0000"/>
          <w:sz w:val="24"/>
          <w:szCs w:val="24"/>
        </w:rPr>
      </w:pPr>
      <w:r w:rsidRPr="009A09C6">
        <w:rPr>
          <w:color w:val="auto"/>
          <w:sz w:val="24"/>
          <w:szCs w:val="24"/>
        </w:rPr>
        <w:t xml:space="preserve">- в соответствии с экспертной оценкой в 2024 году объем отгруженных товаров крупных и средних организаций по </w:t>
      </w:r>
      <w:proofErr w:type="spellStart"/>
      <w:r w:rsidRPr="009A09C6">
        <w:rPr>
          <w:color w:val="auto"/>
          <w:sz w:val="24"/>
          <w:szCs w:val="24"/>
        </w:rPr>
        <w:t>Печенгскому</w:t>
      </w:r>
      <w:proofErr w:type="spellEnd"/>
      <w:r w:rsidRPr="009A09C6">
        <w:rPr>
          <w:color w:val="auto"/>
          <w:sz w:val="24"/>
          <w:szCs w:val="24"/>
        </w:rPr>
        <w:t xml:space="preserve"> муниципальному округу по виду экономической деятельности «Добыча полезных ископаемых» составит 36 267,5 млн. рублей (138,3 % в сравнении с  показателем 2023 года), доля добывающей промышленности в общем объеме промышленного производства – 82,7 %;</w:t>
      </w:r>
    </w:p>
    <w:p w:rsidR="00FD2F9C" w:rsidRPr="001B1D6E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1F365B">
        <w:rPr>
          <w:color w:val="auto"/>
          <w:sz w:val="24"/>
          <w:szCs w:val="24"/>
        </w:rPr>
        <w:t>-</w:t>
      </w:r>
      <w:r w:rsidRPr="00AD3FD7">
        <w:rPr>
          <w:color w:val="FF0000"/>
          <w:sz w:val="24"/>
          <w:szCs w:val="24"/>
        </w:rPr>
        <w:t xml:space="preserve"> </w:t>
      </w:r>
      <w:r w:rsidRPr="009A09C6">
        <w:rPr>
          <w:color w:val="auto"/>
          <w:sz w:val="24"/>
          <w:szCs w:val="24"/>
        </w:rPr>
        <w:t xml:space="preserve">в соответствии с экспертной оценкой в 2024 году объем отгруженных товаров крупных и средних организаций по </w:t>
      </w:r>
      <w:proofErr w:type="spellStart"/>
      <w:r w:rsidRPr="009A09C6">
        <w:rPr>
          <w:color w:val="auto"/>
          <w:sz w:val="24"/>
          <w:szCs w:val="24"/>
        </w:rPr>
        <w:t>Печенгскому</w:t>
      </w:r>
      <w:proofErr w:type="spellEnd"/>
      <w:r w:rsidRPr="009A09C6">
        <w:rPr>
          <w:color w:val="auto"/>
          <w:sz w:val="24"/>
          <w:szCs w:val="24"/>
        </w:rPr>
        <w:t xml:space="preserve"> муниципальному округу по виду экономической </w:t>
      </w:r>
      <w:r w:rsidRPr="001B1D6E">
        <w:rPr>
          <w:color w:val="auto"/>
          <w:sz w:val="24"/>
          <w:szCs w:val="24"/>
        </w:rPr>
        <w:t>деятельности «Обрабатывающие производства» составит 3 955,5 млн. рублей, что к уровню аналогичного периода прошлого года составляет 102,0 %</w:t>
      </w:r>
      <w:r>
        <w:rPr>
          <w:color w:val="auto"/>
          <w:sz w:val="24"/>
          <w:szCs w:val="24"/>
        </w:rPr>
        <w:t>,</w:t>
      </w:r>
      <w:r w:rsidRPr="00AD3FD7">
        <w:rPr>
          <w:color w:val="FF0000"/>
          <w:sz w:val="24"/>
          <w:szCs w:val="24"/>
        </w:rPr>
        <w:t xml:space="preserve"> </w:t>
      </w:r>
      <w:r w:rsidRPr="001B1D6E">
        <w:rPr>
          <w:color w:val="auto"/>
          <w:sz w:val="24"/>
          <w:szCs w:val="24"/>
        </w:rPr>
        <w:t>доля обрабатывающей промышленности в общем объеме промышленного производства – 9,0 %;</w:t>
      </w:r>
    </w:p>
    <w:p w:rsidR="00FD2F9C" w:rsidRPr="001B1D6E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1B1D6E">
        <w:rPr>
          <w:color w:val="auto"/>
          <w:sz w:val="24"/>
          <w:szCs w:val="24"/>
        </w:rPr>
        <w:t xml:space="preserve">- в 1 полугодии 2024 года объемы отгруженных товаров крупных и средних организаций по </w:t>
      </w:r>
      <w:proofErr w:type="spellStart"/>
      <w:r w:rsidRPr="001B1D6E">
        <w:rPr>
          <w:color w:val="auto"/>
          <w:sz w:val="24"/>
          <w:szCs w:val="24"/>
        </w:rPr>
        <w:t>Печенгскому</w:t>
      </w:r>
      <w:proofErr w:type="spellEnd"/>
      <w:r w:rsidRPr="001B1D6E">
        <w:rPr>
          <w:color w:val="auto"/>
          <w:sz w:val="24"/>
          <w:szCs w:val="24"/>
        </w:rPr>
        <w:t xml:space="preserve"> муниципальному округу по виду экономической деятельности «Обеспечение электрической энергией, газом и паром; кондиционирование воздуха» достигли 1 388,4 млн. рублей, что к уровню аналогичного периода прошлого года составляет 97,7 %.</w:t>
      </w:r>
    </w:p>
    <w:p w:rsidR="00FD2F9C" w:rsidRPr="001B1D6E" w:rsidRDefault="00FD2F9C" w:rsidP="00FD2F9C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proofErr w:type="gramStart"/>
      <w:r w:rsidRPr="001B1D6E">
        <w:rPr>
          <w:color w:val="auto"/>
          <w:sz w:val="24"/>
          <w:szCs w:val="24"/>
        </w:rPr>
        <w:t>По оценке в 2024 году данный показатель составит 3 379,2 млн. рублей (в ценах соответствующих лет), что выше уровня аналогичного периода прошлого года на 19,3 %, доля производства по обеспечению электрической энергией, газом и паром в общем объеме промышленного производства – 7,7 %</w:t>
      </w:r>
      <w:r>
        <w:rPr>
          <w:color w:val="auto"/>
          <w:sz w:val="24"/>
          <w:szCs w:val="24"/>
        </w:rPr>
        <w:t>. Ожидается</w:t>
      </w:r>
      <w:r w:rsidRPr="001B1D6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рост объема производства тепловой энергии, а также </w:t>
      </w:r>
      <w:r w:rsidRPr="001B1D6E">
        <w:rPr>
          <w:color w:val="auto"/>
          <w:sz w:val="24"/>
          <w:szCs w:val="24"/>
        </w:rPr>
        <w:t>снижение объемов экспортных поставок электроэнергии</w:t>
      </w:r>
      <w:r>
        <w:rPr>
          <w:color w:val="auto"/>
          <w:sz w:val="24"/>
          <w:szCs w:val="24"/>
        </w:rPr>
        <w:t xml:space="preserve"> (</w:t>
      </w:r>
      <w:r w:rsidRPr="001B1D6E">
        <w:rPr>
          <w:color w:val="auto"/>
          <w:sz w:val="24"/>
          <w:szCs w:val="24"/>
        </w:rPr>
        <w:t>что ведет к отрицательному темпу роста реализации</w:t>
      </w:r>
      <w:r>
        <w:rPr>
          <w:color w:val="auto"/>
          <w:sz w:val="24"/>
          <w:szCs w:val="24"/>
        </w:rPr>
        <w:t>)</w:t>
      </w:r>
      <w:r w:rsidRPr="001B1D6E">
        <w:rPr>
          <w:color w:val="auto"/>
          <w:sz w:val="24"/>
          <w:szCs w:val="24"/>
        </w:rPr>
        <w:t>;</w:t>
      </w:r>
      <w:proofErr w:type="gramEnd"/>
    </w:p>
    <w:p w:rsidR="00FD2F9C" w:rsidRPr="00AD0CC3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AD0CC3">
        <w:rPr>
          <w:color w:val="auto"/>
          <w:sz w:val="24"/>
          <w:szCs w:val="24"/>
        </w:rPr>
        <w:t xml:space="preserve">- в 1 полугодии 2024 года объемы отгруженных товаров крупных и средних организаций по </w:t>
      </w:r>
      <w:proofErr w:type="spellStart"/>
      <w:r w:rsidRPr="00AD0CC3">
        <w:rPr>
          <w:color w:val="auto"/>
          <w:sz w:val="24"/>
          <w:szCs w:val="24"/>
        </w:rPr>
        <w:t>Печенгскому</w:t>
      </w:r>
      <w:proofErr w:type="spellEnd"/>
      <w:r w:rsidRPr="00AD0CC3">
        <w:rPr>
          <w:color w:val="auto"/>
          <w:sz w:val="24"/>
          <w:szCs w:val="24"/>
        </w:rPr>
        <w:t xml:space="preserve"> муниципальному округу по виду экономической деятельности «Водоснабжение; водоотведение, организация сбора и утилизация отходов, деятельность по ликвидации загрязнений» составили 153,3 млн. рублей, что к уровню аналогичного периода прошлого года составляет 94,2%.</w:t>
      </w:r>
    </w:p>
    <w:p w:rsidR="00FD2F9C" w:rsidRPr="00AD0CC3" w:rsidRDefault="00FD2F9C" w:rsidP="00FD2F9C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AD0CC3">
        <w:rPr>
          <w:color w:val="auto"/>
          <w:sz w:val="24"/>
          <w:szCs w:val="24"/>
        </w:rPr>
        <w:t>По оценке в 2024 году объем производства по водоснабжению, водоотведению, организации сбора и утилизации отходов составит 254,3 млн. рублей, что ниже показателя прошлого года на 5,8 %, доля производства по водоснабжению, водоотведению, организации сбора и утилизации отходов в общем объеме промышленного производства –</w:t>
      </w:r>
      <w:r w:rsidRPr="00AD0CC3">
        <w:rPr>
          <w:color w:val="auto"/>
          <w:sz w:val="24"/>
          <w:szCs w:val="24"/>
          <w:highlight w:val="yellow"/>
        </w:rPr>
        <w:t xml:space="preserve"> </w:t>
      </w:r>
      <w:r w:rsidRPr="00AD0CC3">
        <w:rPr>
          <w:color w:val="auto"/>
          <w:sz w:val="24"/>
          <w:szCs w:val="24"/>
        </w:rPr>
        <w:t>0,6 %.</w:t>
      </w:r>
    </w:p>
    <w:p w:rsidR="00FD2F9C" w:rsidRPr="00AD3FD7" w:rsidRDefault="00FD2F9C" w:rsidP="00FD2F9C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FD2F9C" w:rsidRPr="00556745" w:rsidRDefault="00FD2F9C" w:rsidP="00FD2F9C">
      <w:pPr>
        <w:jc w:val="center"/>
        <w:rPr>
          <w:b/>
          <w:color w:val="auto"/>
          <w:sz w:val="24"/>
          <w:szCs w:val="24"/>
        </w:rPr>
      </w:pPr>
      <w:bookmarkStart w:id="6" w:name="_Toc106522156"/>
      <w:bookmarkStart w:id="7" w:name="_Toc106522206"/>
      <w:bookmarkStart w:id="8" w:name="_Toc106522351"/>
      <w:bookmarkStart w:id="9" w:name="_Toc106522952"/>
      <w:bookmarkStart w:id="10" w:name="_Toc106526618"/>
      <w:r w:rsidRPr="00556745">
        <w:rPr>
          <w:b/>
          <w:color w:val="auto"/>
          <w:sz w:val="24"/>
          <w:szCs w:val="24"/>
        </w:rPr>
        <w:t>3. Рынок товаров и услуг</w:t>
      </w:r>
    </w:p>
    <w:p w:rsidR="00FD2F9C" w:rsidRPr="00AD3FD7" w:rsidRDefault="00FD2F9C" w:rsidP="00FD2F9C">
      <w:pPr>
        <w:tabs>
          <w:tab w:val="num" w:pos="360"/>
        </w:tabs>
        <w:ind w:firstLine="720"/>
        <w:jc w:val="both"/>
        <w:rPr>
          <w:bCs/>
          <w:color w:val="FF0000"/>
          <w:sz w:val="24"/>
          <w:szCs w:val="24"/>
          <w:highlight w:val="yellow"/>
        </w:rPr>
      </w:pP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</w:rPr>
      </w:pPr>
      <w:r w:rsidRPr="004943B4">
        <w:rPr>
          <w:color w:val="auto"/>
        </w:rPr>
        <w:t xml:space="preserve">Рынок товаров и услуг </w:t>
      </w:r>
      <w:proofErr w:type="spellStart"/>
      <w:r w:rsidRPr="004943B4">
        <w:rPr>
          <w:color w:val="auto"/>
        </w:rPr>
        <w:t>Печенгского</w:t>
      </w:r>
      <w:proofErr w:type="spellEnd"/>
      <w:r w:rsidRPr="004943B4">
        <w:rPr>
          <w:color w:val="auto"/>
        </w:rPr>
        <w:t xml:space="preserve"> муниципального округа в 2023 году </w:t>
      </w:r>
      <w:r w:rsidRPr="00520929">
        <w:rPr>
          <w:color w:val="auto"/>
        </w:rPr>
        <w:t xml:space="preserve">характеризовался ростом физических объемов оборота розничной торговли, и снижением физических объемов оборота общественного питания и платных услуг населению. </w:t>
      </w:r>
    </w:p>
    <w:p w:rsidR="00FD2F9C" w:rsidRPr="00E7220C" w:rsidRDefault="00FD2F9C" w:rsidP="00FD2F9C">
      <w:pPr>
        <w:pStyle w:val="Default"/>
        <w:ind w:firstLine="709"/>
        <w:jc w:val="both"/>
        <w:rPr>
          <w:color w:val="auto"/>
        </w:rPr>
      </w:pPr>
      <w:r w:rsidRPr="004943B4">
        <w:rPr>
          <w:color w:val="auto"/>
        </w:rPr>
        <w:t>В соответствии с экспертной оценкой оборот розничной торговли по полному кругу организаций за 202</w:t>
      </w:r>
      <w:r>
        <w:rPr>
          <w:color w:val="auto"/>
        </w:rPr>
        <w:t>3</w:t>
      </w:r>
      <w:r w:rsidRPr="004943B4">
        <w:rPr>
          <w:color w:val="auto"/>
        </w:rPr>
        <w:t xml:space="preserve"> </w:t>
      </w:r>
      <w:r w:rsidRPr="00E7220C">
        <w:rPr>
          <w:color w:val="auto"/>
        </w:rPr>
        <w:t xml:space="preserve">год составил 5 445,6 млн. рублей и в сопоставимых ценах вырос на 14,8 % по сравнению с 2022 годом. </w:t>
      </w:r>
      <w:r>
        <w:rPr>
          <w:color w:val="auto"/>
        </w:rPr>
        <w:t xml:space="preserve">Объем всех продовольственных товаров, реализованных за 2023 год по </w:t>
      </w:r>
      <w:proofErr w:type="spellStart"/>
      <w:r>
        <w:rPr>
          <w:color w:val="auto"/>
        </w:rPr>
        <w:t>Печенгскому</w:t>
      </w:r>
      <w:proofErr w:type="spellEnd"/>
      <w:r>
        <w:rPr>
          <w:color w:val="auto"/>
        </w:rPr>
        <w:t xml:space="preserve"> муниципальному округу, составил  2 887,0 млн. рублей, что на 5,3 % (144,5 млн. рублей) больше уровня 2022 года.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  <w:r w:rsidRPr="004943B4">
        <w:rPr>
          <w:color w:val="auto"/>
          <w:sz w:val="24"/>
          <w:szCs w:val="24"/>
        </w:rPr>
        <w:t>В 2023 году</w:t>
      </w:r>
      <w:r>
        <w:rPr>
          <w:color w:val="auto"/>
          <w:sz w:val="24"/>
          <w:szCs w:val="24"/>
        </w:rPr>
        <w:t xml:space="preserve"> по экспертной оценке</w:t>
      </w:r>
      <w:r w:rsidRPr="004943B4">
        <w:rPr>
          <w:color w:val="auto"/>
          <w:sz w:val="24"/>
          <w:szCs w:val="24"/>
        </w:rPr>
        <w:t xml:space="preserve"> объем оборота общественного питания по полному кругу </w:t>
      </w:r>
      <w:r w:rsidRPr="00E7220C">
        <w:rPr>
          <w:color w:val="auto"/>
          <w:sz w:val="24"/>
          <w:szCs w:val="24"/>
        </w:rPr>
        <w:t xml:space="preserve">организаций составил 1 253,9 млн. рублей и возрос в сопоставимых ценах </w:t>
      </w:r>
      <w:r w:rsidRPr="00E7220C">
        <w:rPr>
          <w:color w:val="auto"/>
          <w:sz w:val="24"/>
          <w:szCs w:val="24"/>
        </w:rPr>
        <w:lastRenderedPageBreak/>
        <w:t xml:space="preserve">на 0,05% к 2022 году, объем платных услуг - составил 1 556,1 млн. рублей, что выше уровня 2022 года на 6,9 % в сопоставимых ценах. </w:t>
      </w:r>
    </w:p>
    <w:p w:rsidR="00FD2F9C" w:rsidRPr="00E7220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E7220C">
        <w:rPr>
          <w:color w:val="auto"/>
          <w:sz w:val="24"/>
          <w:szCs w:val="24"/>
        </w:rPr>
        <w:t>По данным официальной статистики оборот розничной торговли (без субъектов малого предпринимательства) за 1 полугодие 2024 года увеличился на 17,4 % по сравнению с аналогичным периодом прошлого года и составил 2 895,2 млн. рублей. Оборот общественного питания (без субъектов малого предпринимательства) в 1 полугодии 2024 года в соответствии со статистическими данными сократился на 81,5 % и составил 82,4 млн. рублей</w:t>
      </w:r>
      <w:r>
        <w:rPr>
          <w:color w:val="auto"/>
          <w:sz w:val="24"/>
          <w:szCs w:val="24"/>
        </w:rPr>
        <w:t xml:space="preserve"> </w:t>
      </w:r>
      <w:r w:rsidRPr="00904AAF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По данным </w:t>
      </w:r>
      <w:proofErr w:type="spellStart"/>
      <w:r>
        <w:rPr>
          <w:color w:val="auto"/>
          <w:sz w:val="24"/>
          <w:szCs w:val="24"/>
        </w:rPr>
        <w:t>Мурманскстата</w:t>
      </w:r>
      <w:proofErr w:type="spellEnd"/>
      <w:r>
        <w:rPr>
          <w:color w:val="auto"/>
          <w:sz w:val="24"/>
          <w:szCs w:val="24"/>
        </w:rPr>
        <w:t xml:space="preserve"> т</w:t>
      </w:r>
      <w:r w:rsidRPr="00904AAF">
        <w:rPr>
          <w:kern w:val="28"/>
          <w:sz w:val="24"/>
          <w:szCs w:val="24"/>
        </w:rPr>
        <w:t>емпы снижения показателей связаны с сокращением деловой активности, а также изменением круга респондентов</w:t>
      </w:r>
      <w:r>
        <w:rPr>
          <w:kern w:val="28"/>
          <w:sz w:val="24"/>
          <w:szCs w:val="24"/>
        </w:rPr>
        <w:t>)</w:t>
      </w:r>
      <w:r w:rsidRPr="00904AAF">
        <w:rPr>
          <w:color w:val="auto"/>
          <w:sz w:val="24"/>
          <w:szCs w:val="24"/>
        </w:rPr>
        <w:t>.</w:t>
      </w:r>
      <w:r w:rsidRPr="00E7220C">
        <w:rPr>
          <w:color w:val="auto"/>
          <w:sz w:val="24"/>
          <w:szCs w:val="24"/>
        </w:rPr>
        <w:t xml:space="preserve">  Объем платных услуг населению (без субъектов малого предпринимательства) за 1 полугодие 2024 года увеличился на 2,8 % по сравнению с аналогичным периодом 2022 года, и составил 2319 млн. рублей. 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1846BC">
        <w:rPr>
          <w:color w:val="auto"/>
          <w:sz w:val="24"/>
          <w:szCs w:val="24"/>
        </w:rPr>
        <w:t xml:space="preserve">По итогам 2024 года, несмотря на переориентирование </w:t>
      </w:r>
      <w:proofErr w:type="gramStart"/>
      <w:r w:rsidRPr="001846BC">
        <w:rPr>
          <w:color w:val="auto"/>
          <w:sz w:val="24"/>
          <w:szCs w:val="24"/>
        </w:rPr>
        <w:t>потребителей</w:t>
      </w:r>
      <w:proofErr w:type="gramEnd"/>
      <w:r w:rsidRPr="001846BC">
        <w:rPr>
          <w:color w:val="auto"/>
          <w:sz w:val="24"/>
          <w:szCs w:val="24"/>
        </w:rPr>
        <w:t xml:space="preserve"> на осуществление покупок в Интернет-магазинах, ожидается увеличение оборота розничной </w:t>
      </w:r>
      <w:r w:rsidRPr="000F3CAE">
        <w:rPr>
          <w:color w:val="auto"/>
          <w:sz w:val="24"/>
          <w:szCs w:val="24"/>
        </w:rPr>
        <w:t>торговли до 6 018,2 млн. рублей.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sz w:val="24"/>
          <w:szCs w:val="24"/>
        </w:rPr>
      </w:pPr>
      <w:r w:rsidRPr="000F3CAE">
        <w:rPr>
          <w:rFonts w:eastAsia="Calibri"/>
          <w:sz w:val="24"/>
          <w:szCs w:val="24"/>
        </w:rPr>
        <w:t>Ценовая ситуация на продовольственном рынке находится под постоянным контролем администрации округа. В целях недопущения необоснованного роста цен на социально значимые продукты питания и лекарственные средства еженедельно осуществляется мониторинг цен на социально значимые продукты питания.</w:t>
      </w:r>
    </w:p>
    <w:p w:rsidR="00FD2F9C" w:rsidRPr="001846B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1846BC">
        <w:rPr>
          <w:color w:val="auto"/>
          <w:sz w:val="24"/>
          <w:szCs w:val="24"/>
        </w:rPr>
        <w:t xml:space="preserve">Сохраняется тенденция роста обеспеченности населения торговыми площадями. Увеличение показателя в 2024 году произойдет в связи с сокращением численности населения </w:t>
      </w:r>
      <w:proofErr w:type="spellStart"/>
      <w:r w:rsidRPr="001846BC">
        <w:rPr>
          <w:color w:val="auto"/>
          <w:sz w:val="24"/>
          <w:szCs w:val="24"/>
        </w:rPr>
        <w:t>Печенгского</w:t>
      </w:r>
      <w:proofErr w:type="spellEnd"/>
      <w:r w:rsidRPr="001846BC">
        <w:rPr>
          <w:color w:val="auto"/>
          <w:sz w:val="24"/>
          <w:szCs w:val="24"/>
        </w:rPr>
        <w:t xml:space="preserve"> муниципального округа.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54741">
        <w:rPr>
          <w:color w:val="auto"/>
          <w:sz w:val="24"/>
          <w:szCs w:val="24"/>
        </w:rPr>
        <w:t>Прогнозное значение оборота общественного питания возрастет по итогам 2024 года до 1 386,7 млн. рублей, объемы платных услуг населению – до 1 693,4 млн. рублей.</w:t>
      </w:r>
      <w:bookmarkEnd w:id="6"/>
      <w:bookmarkEnd w:id="7"/>
      <w:bookmarkEnd w:id="8"/>
      <w:bookmarkEnd w:id="9"/>
      <w:bookmarkEnd w:id="10"/>
    </w:p>
    <w:p w:rsidR="00FD2F9C" w:rsidRPr="004D1E7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D1E7C">
        <w:rPr>
          <w:sz w:val="24"/>
          <w:szCs w:val="24"/>
        </w:rPr>
        <w:t xml:space="preserve">Инфраструктура гостеприимства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D1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данным официальной статистики </w:t>
      </w:r>
      <w:r w:rsidRPr="004D1E7C">
        <w:rPr>
          <w:sz w:val="24"/>
          <w:szCs w:val="24"/>
        </w:rPr>
        <w:t xml:space="preserve">включает </w:t>
      </w:r>
      <w:r>
        <w:rPr>
          <w:sz w:val="24"/>
          <w:szCs w:val="24"/>
        </w:rPr>
        <w:t>13</w:t>
      </w:r>
      <w:r w:rsidRPr="004D1E7C">
        <w:rPr>
          <w:sz w:val="24"/>
          <w:szCs w:val="24"/>
        </w:rPr>
        <w:t xml:space="preserve"> объектов коллективного размещения (гостиницы, отели</w:t>
      </w:r>
      <w:r>
        <w:rPr>
          <w:sz w:val="24"/>
          <w:szCs w:val="24"/>
        </w:rPr>
        <w:t>,</w:t>
      </w:r>
      <w:r w:rsidRPr="004D1E7C">
        <w:rPr>
          <w:sz w:val="24"/>
          <w:szCs w:val="24"/>
        </w:rPr>
        <w:t xml:space="preserve"> хостелы</w:t>
      </w:r>
      <w:r>
        <w:rPr>
          <w:sz w:val="24"/>
          <w:szCs w:val="24"/>
        </w:rPr>
        <w:t xml:space="preserve"> и пр.</w:t>
      </w:r>
      <w:r w:rsidRPr="004D1E7C">
        <w:rPr>
          <w:sz w:val="24"/>
          <w:szCs w:val="24"/>
        </w:rPr>
        <w:t xml:space="preserve">). </w:t>
      </w:r>
      <w:r w:rsidRPr="004D1E7C">
        <w:rPr>
          <w:color w:val="auto"/>
          <w:sz w:val="24"/>
          <w:szCs w:val="24"/>
        </w:rPr>
        <w:t xml:space="preserve">Число размещенных в них туристов в 2023 году составило 10 885 человек (+27,3 % к уровню 2022 года) (8 554 человека в 2022 году). </w:t>
      </w:r>
    </w:p>
    <w:p w:rsidR="00FD2F9C" w:rsidRPr="00454741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</w:p>
    <w:p w:rsidR="00FD2F9C" w:rsidRPr="00556745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556745">
        <w:rPr>
          <w:b/>
          <w:color w:val="auto"/>
          <w:sz w:val="24"/>
          <w:szCs w:val="24"/>
        </w:rPr>
        <w:t>4. Малое и среднее предпринимательство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FF0000"/>
          <w:sz w:val="24"/>
          <w:szCs w:val="24"/>
        </w:rPr>
      </w:pPr>
    </w:p>
    <w:p w:rsidR="00FD2F9C" w:rsidRPr="00277B94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943B4">
        <w:rPr>
          <w:color w:val="auto"/>
          <w:sz w:val="24"/>
          <w:szCs w:val="24"/>
        </w:rPr>
        <w:t xml:space="preserve">В соответствии с Единым реестром субъектов малого и среднего предпринимательства (далее – Единый реестр) количество индивидуальных предпринимателей в </w:t>
      </w:r>
      <w:proofErr w:type="spellStart"/>
      <w:r w:rsidRPr="004943B4">
        <w:rPr>
          <w:color w:val="auto"/>
          <w:sz w:val="24"/>
          <w:szCs w:val="24"/>
        </w:rPr>
        <w:t>Печенгском</w:t>
      </w:r>
      <w:proofErr w:type="spellEnd"/>
      <w:r w:rsidRPr="004943B4">
        <w:rPr>
          <w:color w:val="auto"/>
          <w:sz w:val="24"/>
          <w:szCs w:val="24"/>
        </w:rPr>
        <w:t xml:space="preserve"> муниципальном округе на 10.01.202</w:t>
      </w:r>
      <w:r>
        <w:rPr>
          <w:color w:val="auto"/>
          <w:sz w:val="24"/>
          <w:szCs w:val="24"/>
        </w:rPr>
        <w:t>4</w:t>
      </w:r>
      <w:r w:rsidRPr="004943B4">
        <w:rPr>
          <w:color w:val="auto"/>
          <w:sz w:val="24"/>
          <w:szCs w:val="24"/>
        </w:rPr>
        <w:t xml:space="preserve"> </w:t>
      </w:r>
      <w:r w:rsidRPr="00277B94">
        <w:rPr>
          <w:color w:val="auto"/>
          <w:sz w:val="24"/>
          <w:szCs w:val="24"/>
        </w:rPr>
        <w:t xml:space="preserve">года составило 696 единиц (118,2 % к 10.01.2023 года). </w:t>
      </w:r>
    </w:p>
    <w:p w:rsidR="00FD2F9C" w:rsidRPr="00277B94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943B4">
        <w:rPr>
          <w:color w:val="auto"/>
          <w:sz w:val="24"/>
          <w:szCs w:val="24"/>
        </w:rPr>
        <w:t xml:space="preserve">В соответствии с Единым реестром на 10.01.2024 года количество малых и </w:t>
      </w:r>
      <w:proofErr w:type="spellStart"/>
      <w:r w:rsidRPr="004943B4">
        <w:rPr>
          <w:color w:val="auto"/>
          <w:sz w:val="24"/>
          <w:szCs w:val="24"/>
        </w:rPr>
        <w:t>микропредприятий</w:t>
      </w:r>
      <w:proofErr w:type="spellEnd"/>
      <w:r w:rsidRPr="004943B4">
        <w:rPr>
          <w:color w:val="auto"/>
          <w:sz w:val="24"/>
          <w:szCs w:val="24"/>
        </w:rPr>
        <w:t xml:space="preserve"> – юридических лиц составило </w:t>
      </w:r>
      <w:r w:rsidRPr="00277B94">
        <w:rPr>
          <w:color w:val="auto"/>
          <w:sz w:val="24"/>
          <w:szCs w:val="24"/>
        </w:rPr>
        <w:t>144 (на 10.01.2023 года – 137).</w:t>
      </w:r>
    </w:p>
    <w:p w:rsidR="00FD2F9C" w:rsidRPr="00301615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 w:rsidRPr="004943B4">
        <w:rPr>
          <w:bCs/>
          <w:color w:val="auto"/>
          <w:sz w:val="24"/>
          <w:szCs w:val="24"/>
        </w:rPr>
        <w:t xml:space="preserve">По данным Единого реестра в </w:t>
      </w:r>
      <w:proofErr w:type="spellStart"/>
      <w:r w:rsidRPr="004943B4">
        <w:rPr>
          <w:bCs/>
          <w:color w:val="auto"/>
          <w:sz w:val="24"/>
          <w:szCs w:val="24"/>
        </w:rPr>
        <w:t>Печенгском</w:t>
      </w:r>
      <w:proofErr w:type="spellEnd"/>
      <w:r w:rsidRPr="004943B4">
        <w:rPr>
          <w:bCs/>
          <w:color w:val="auto"/>
          <w:sz w:val="24"/>
          <w:szCs w:val="24"/>
        </w:rPr>
        <w:t xml:space="preserve"> муниципальном округе средние предприятия – субъекты </w:t>
      </w:r>
      <w:r w:rsidRPr="00301615">
        <w:rPr>
          <w:bCs/>
          <w:color w:val="auto"/>
          <w:sz w:val="24"/>
          <w:szCs w:val="24"/>
        </w:rPr>
        <w:t>МСП отсутствуют.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 w:rsidRPr="004943B4">
        <w:rPr>
          <w:bCs/>
          <w:color w:val="auto"/>
          <w:sz w:val="24"/>
          <w:szCs w:val="24"/>
        </w:rPr>
        <w:t xml:space="preserve">По состоянию на 10.07.2024 года численность малых и </w:t>
      </w:r>
      <w:proofErr w:type="spellStart"/>
      <w:r w:rsidRPr="004943B4">
        <w:rPr>
          <w:bCs/>
          <w:color w:val="auto"/>
          <w:sz w:val="24"/>
          <w:szCs w:val="24"/>
        </w:rPr>
        <w:t>микропредприятий</w:t>
      </w:r>
      <w:proofErr w:type="spellEnd"/>
      <w:r w:rsidRPr="004943B4">
        <w:rPr>
          <w:bCs/>
          <w:color w:val="auto"/>
          <w:sz w:val="24"/>
          <w:szCs w:val="24"/>
        </w:rPr>
        <w:t xml:space="preserve"> </w:t>
      </w:r>
      <w:proofErr w:type="gramStart"/>
      <w:r w:rsidRPr="004943B4">
        <w:rPr>
          <w:bCs/>
          <w:color w:val="auto"/>
          <w:sz w:val="24"/>
          <w:szCs w:val="24"/>
        </w:rPr>
        <w:t>–с</w:t>
      </w:r>
      <w:proofErr w:type="gramEnd"/>
      <w:r w:rsidRPr="004943B4">
        <w:rPr>
          <w:bCs/>
          <w:color w:val="auto"/>
          <w:sz w:val="24"/>
          <w:szCs w:val="24"/>
        </w:rPr>
        <w:t>убъектов малого и среднего предпринимательства составила</w:t>
      </w:r>
      <w:r w:rsidRPr="00AD3FD7">
        <w:rPr>
          <w:bCs/>
          <w:color w:val="FF0000"/>
          <w:sz w:val="24"/>
          <w:szCs w:val="24"/>
        </w:rPr>
        <w:t xml:space="preserve"> </w:t>
      </w:r>
      <w:r w:rsidRPr="00301615">
        <w:rPr>
          <w:bCs/>
          <w:color w:val="auto"/>
          <w:sz w:val="24"/>
          <w:szCs w:val="24"/>
        </w:rPr>
        <w:t>832 (на 01.07.2023 – 745).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C8257C">
        <w:rPr>
          <w:sz w:val="24"/>
          <w:szCs w:val="24"/>
        </w:rPr>
        <w:t xml:space="preserve">В рамках реализации мероприятий муниципальной программы </w:t>
      </w:r>
      <w:proofErr w:type="spellStart"/>
      <w:r w:rsidRPr="00C8257C">
        <w:rPr>
          <w:sz w:val="24"/>
          <w:szCs w:val="24"/>
        </w:rPr>
        <w:t>Печенгского</w:t>
      </w:r>
      <w:proofErr w:type="spellEnd"/>
      <w:r w:rsidRPr="00C8257C">
        <w:rPr>
          <w:sz w:val="24"/>
          <w:szCs w:val="24"/>
        </w:rPr>
        <w:t xml:space="preserve"> муниципального округа «Экономический потенциал» в 2023 году субъектам МСП оказывалась информационно-консультационная и имущественная поддержка.</w:t>
      </w:r>
    </w:p>
    <w:p w:rsidR="00FD2F9C" w:rsidRPr="00C8257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C8257C">
        <w:rPr>
          <w:sz w:val="24"/>
          <w:szCs w:val="24"/>
        </w:rPr>
        <w:t>В рамках оказания имущественной поддержки в 2023 году:</w:t>
      </w:r>
    </w:p>
    <w:p w:rsidR="00FD2F9C" w:rsidRPr="00C8257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C8257C">
        <w:rPr>
          <w:sz w:val="24"/>
          <w:szCs w:val="24"/>
        </w:rPr>
        <w:t>- количество муниципальных объектов, переданных субъектам МСП в качестве имущественной поддержки, составило 58 единиц;</w:t>
      </w:r>
    </w:p>
    <w:p w:rsidR="00FD2F9C" w:rsidRPr="00C8257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C8257C">
        <w:rPr>
          <w:sz w:val="24"/>
          <w:szCs w:val="24"/>
        </w:rPr>
        <w:t xml:space="preserve">- количество новых объектов, включенных в перечень муниципального имущества </w:t>
      </w:r>
      <w:proofErr w:type="spellStart"/>
      <w:r w:rsidRPr="00C8257C">
        <w:rPr>
          <w:sz w:val="24"/>
          <w:szCs w:val="24"/>
        </w:rPr>
        <w:t>Печенгского</w:t>
      </w:r>
      <w:proofErr w:type="spellEnd"/>
      <w:r w:rsidRPr="00C8257C">
        <w:rPr>
          <w:sz w:val="24"/>
          <w:szCs w:val="24"/>
        </w:rPr>
        <w:t xml:space="preserve"> муниципального округа, предназначенного для оказания имущественной поддержки субъек</w:t>
      </w:r>
      <w:r>
        <w:rPr>
          <w:sz w:val="24"/>
          <w:szCs w:val="24"/>
        </w:rPr>
        <w:t xml:space="preserve">там МСП и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</w:t>
      </w:r>
      <w:r w:rsidRPr="00C8257C">
        <w:rPr>
          <w:sz w:val="24"/>
          <w:szCs w:val="24"/>
        </w:rPr>
        <w:t>, составило 5 единиц;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C8257C">
        <w:rPr>
          <w:sz w:val="24"/>
          <w:szCs w:val="24"/>
        </w:rPr>
        <w:t xml:space="preserve">- количество новых договоров, заключенных с субъектами МСП в качестве </w:t>
      </w:r>
      <w:r w:rsidRPr="00C8257C">
        <w:rPr>
          <w:sz w:val="24"/>
          <w:szCs w:val="24"/>
        </w:rPr>
        <w:lastRenderedPageBreak/>
        <w:t>имущественной поддержки, составило 14 единиц.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C8257C">
        <w:rPr>
          <w:sz w:val="24"/>
          <w:szCs w:val="24"/>
        </w:rPr>
        <w:t xml:space="preserve">Администрацией </w:t>
      </w:r>
      <w:proofErr w:type="spellStart"/>
      <w:r w:rsidRPr="00C8257C">
        <w:rPr>
          <w:sz w:val="24"/>
          <w:szCs w:val="24"/>
        </w:rPr>
        <w:t>Печенгского</w:t>
      </w:r>
      <w:proofErr w:type="spellEnd"/>
      <w:r w:rsidRPr="00C8257C">
        <w:rPr>
          <w:sz w:val="24"/>
          <w:szCs w:val="24"/>
        </w:rPr>
        <w:t xml:space="preserve"> муниципального округа проводится работа по информированию предпринимателей через </w:t>
      </w:r>
      <w:r w:rsidRPr="00C8257C">
        <w:rPr>
          <w:bCs/>
          <w:sz w:val="24"/>
          <w:szCs w:val="24"/>
        </w:rPr>
        <w:t>средства массовой информации, официальный сайт муниципального образования, чат, созданный для оперативного информирования бизнес-сообщества, о действующих формах поддержки, кредитных продуктах, программах, опросах, конкурсах, об участии в семинарах, встречах, о тренингах, программах повышения квалификации и переподготовки кадров, о проводимых тематических форумах, конференциях, выставках.</w:t>
      </w:r>
      <w:proofErr w:type="gramEnd"/>
    </w:p>
    <w:p w:rsidR="00FD2F9C" w:rsidRPr="0046620F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C8257C">
        <w:rPr>
          <w:sz w:val="24"/>
          <w:szCs w:val="24"/>
        </w:rPr>
        <w:t xml:space="preserve">В декабре 2023 года на территории округа </w:t>
      </w:r>
      <w:r w:rsidRPr="00C8257C">
        <w:rPr>
          <w:rFonts w:eastAsia="Calibri"/>
          <w:bCs/>
          <w:sz w:val="24"/>
          <w:szCs w:val="24"/>
        </w:rPr>
        <w:t xml:space="preserve">с целью создания праздничного облика </w:t>
      </w:r>
      <w:proofErr w:type="spellStart"/>
      <w:r w:rsidRPr="00C8257C">
        <w:rPr>
          <w:rFonts w:eastAsia="Calibri"/>
          <w:bCs/>
          <w:sz w:val="24"/>
          <w:szCs w:val="24"/>
        </w:rPr>
        <w:t>Печенгского</w:t>
      </w:r>
      <w:proofErr w:type="spellEnd"/>
      <w:r w:rsidRPr="00C8257C">
        <w:rPr>
          <w:rFonts w:eastAsia="Calibri"/>
          <w:bCs/>
          <w:sz w:val="24"/>
          <w:szCs w:val="24"/>
        </w:rPr>
        <w:t xml:space="preserve"> муниципального округа, повышения эстетического и художественного уровня оформления объектов потребительского рынка во второй раз </w:t>
      </w:r>
      <w:r w:rsidRPr="00C8257C">
        <w:rPr>
          <w:sz w:val="24"/>
          <w:szCs w:val="24"/>
        </w:rPr>
        <w:t xml:space="preserve">организован муниципальный конкурс «Новогодняя мозаика». </w:t>
      </w:r>
      <w:r w:rsidRPr="00C8257C">
        <w:rPr>
          <w:bCs/>
          <w:sz w:val="24"/>
          <w:szCs w:val="24"/>
        </w:rPr>
        <w:t>В конкурсе, который проводился по трем номинациям:</w:t>
      </w:r>
      <w:r w:rsidRPr="00C8257C">
        <w:rPr>
          <w:sz w:val="24"/>
          <w:szCs w:val="24"/>
        </w:rPr>
        <w:t xml:space="preserve"> </w:t>
      </w:r>
      <w:proofErr w:type="gramStart"/>
      <w:r w:rsidRPr="00C8257C">
        <w:rPr>
          <w:sz w:val="24"/>
          <w:szCs w:val="24"/>
        </w:rPr>
        <w:t>«Лучшее праздничное новогоднее оформление» (</w:t>
      </w:r>
      <w:proofErr w:type="spellStart"/>
      <w:r w:rsidRPr="00C8257C">
        <w:rPr>
          <w:sz w:val="24"/>
          <w:szCs w:val="24"/>
        </w:rPr>
        <w:t>пгт</w:t>
      </w:r>
      <w:proofErr w:type="spellEnd"/>
      <w:r w:rsidRPr="00C8257C">
        <w:rPr>
          <w:sz w:val="24"/>
          <w:szCs w:val="24"/>
        </w:rPr>
        <w:t>.</w:t>
      </w:r>
      <w:proofErr w:type="gramEnd"/>
      <w:r w:rsidRPr="00C8257C">
        <w:rPr>
          <w:sz w:val="24"/>
          <w:szCs w:val="24"/>
        </w:rPr>
        <w:t xml:space="preserve"> Никель), «Лучшее праздничное новогоднее оформление» (</w:t>
      </w:r>
      <w:proofErr w:type="spellStart"/>
      <w:r w:rsidRPr="00C8257C">
        <w:rPr>
          <w:sz w:val="24"/>
          <w:szCs w:val="24"/>
        </w:rPr>
        <w:t>г</w:t>
      </w:r>
      <w:proofErr w:type="gramStart"/>
      <w:r w:rsidRPr="00C8257C">
        <w:rPr>
          <w:sz w:val="24"/>
          <w:szCs w:val="24"/>
        </w:rPr>
        <w:t>.З</w:t>
      </w:r>
      <w:proofErr w:type="gramEnd"/>
      <w:r w:rsidRPr="00C8257C">
        <w:rPr>
          <w:sz w:val="24"/>
          <w:szCs w:val="24"/>
        </w:rPr>
        <w:t>аполярный</w:t>
      </w:r>
      <w:proofErr w:type="spellEnd"/>
      <w:r w:rsidRPr="00C8257C">
        <w:rPr>
          <w:sz w:val="24"/>
          <w:szCs w:val="24"/>
        </w:rPr>
        <w:t>), «Лучшее праздничное новогоднее оформление» (</w:t>
      </w:r>
      <w:proofErr w:type="spellStart"/>
      <w:r w:rsidRPr="00C8257C">
        <w:rPr>
          <w:sz w:val="24"/>
          <w:szCs w:val="24"/>
        </w:rPr>
        <w:t>пгт</w:t>
      </w:r>
      <w:proofErr w:type="spellEnd"/>
      <w:r w:rsidRPr="00C8257C">
        <w:rPr>
          <w:sz w:val="24"/>
          <w:szCs w:val="24"/>
        </w:rPr>
        <w:t xml:space="preserve">. Печенга, </w:t>
      </w:r>
      <w:proofErr w:type="spellStart"/>
      <w:r w:rsidRPr="00C8257C">
        <w:rPr>
          <w:sz w:val="24"/>
          <w:szCs w:val="24"/>
        </w:rPr>
        <w:t>нп</w:t>
      </w:r>
      <w:proofErr w:type="spellEnd"/>
      <w:r w:rsidRPr="00C8257C">
        <w:rPr>
          <w:sz w:val="24"/>
          <w:szCs w:val="24"/>
        </w:rPr>
        <w:t xml:space="preserve">. Спутник, </w:t>
      </w:r>
      <w:proofErr w:type="spellStart"/>
      <w:r w:rsidRPr="00C8257C">
        <w:rPr>
          <w:sz w:val="24"/>
          <w:szCs w:val="24"/>
        </w:rPr>
        <w:t>нп</w:t>
      </w:r>
      <w:proofErr w:type="spellEnd"/>
      <w:r w:rsidRPr="00C8257C">
        <w:rPr>
          <w:sz w:val="24"/>
          <w:szCs w:val="24"/>
        </w:rPr>
        <w:t xml:space="preserve">. </w:t>
      </w:r>
      <w:proofErr w:type="spellStart"/>
      <w:r w:rsidRPr="00C8257C">
        <w:rPr>
          <w:sz w:val="24"/>
          <w:szCs w:val="24"/>
        </w:rPr>
        <w:t>Лиинахамари</w:t>
      </w:r>
      <w:proofErr w:type="spellEnd"/>
      <w:r w:rsidRPr="00C8257C">
        <w:rPr>
          <w:sz w:val="24"/>
          <w:szCs w:val="24"/>
        </w:rPr>
        <w:t xml:space="preserve">, </w:t>
      </w:r>
      <w:proofErr w:type="spellStart"/>
      <w:r w:rsidRPr="00C8257C">
        <w:rPr>
          <w:sz w:val="24"/>
          <w:szCs w:val="24"/>
        </w:rPr>
        <w:t>нп</w:t>
      </w:r>
      <w:proofErr w:type="spellEnd"/>
      <w:r w:rsidRPr="00C8257C">
        <w:rPr>
          <w:sz w:val="24"/>
          <w:szCs w:val="24"/>
        </w:rPr>
        <w:t xml:space="preserve">. </w:t>
      </w:r>
      <w:proofErr w:type="spellStart"/>
      <w:r w:rsidRPr="00C8257C">
        <w:rPr>
          <w:sz w:val="24"/>
          <w:szCs w:val="24"/>
        </w:rPr>
        <w:t>Корзуново</w:t>
      </w:r>
      <w:proofErr w:type="spellEnd"/>
      <w:r w:rsidRPr="00C8257C">
        <w:rPr>
          <w:sz w:val="24"/>
          <w:szCs w:val="24"/>
        </w:rPr>
        <w:t xml:space="preserve">, </w:t>
      </w:r>
      <w:proofErr w:type="spellStart"/>
      <w:r w:rsidRPr="00C8257C">
        <w:rPr>
          <w:sz w:val="24"/>
          <w:szCs w:val="24"/>
        </w:rPr>
        <w:t>нп</w:t>
      </w:r>
      <w:proofErr w:type="spellEnd"/>
      <w:r w:rsidRPr="00C8257C">
        <w:rPr>
          <w:sz w:val="24"/>
          <w:szCs w:val="24"/>
        </w:rPr>
        <w:t xml:space="preserve">. </w:t>
      </w:r>
      <w:proofErr w:type="spellStart"/>
      <w:proofErr w:type="gramStart"/>
      <w:r w:rsidRPr="00C8257C">
        <w:rPr>
          <w:sz w:val="24"/>
          <w:szCs w:val="24"/>
        </w:rPr>
        <w:t>Луостари</w:t>
      </w:r>
      <w:proofErr w:type="spellEnd"/>
      <w:r w:rsidRPr="00C8257C">
        <w:rPr>
          <w:sz w:val="24"/>
          <w:szCs w:val="24"/>
        </w:rPr>
        <w:t xml:space="preserve"> и другие населенные пункты </w:t>
      </w:r>
      <w:proofErr w:type="spellStart"/>
      <w:r w:rsidRPr="00C8257C">
        <w:rPr>
          <w:sz w:val="24"/>
          <w:szCs w:val="24"/>
        </w:rPr>
        <w:t>Печенгского</w:t>
      </w:r>
      <w:proofErr w:type="spellEnd"/>
      <w:r w:rsidRPr="00C8257C">
        <w:rPr>
          <w:sz w:val="24"/>
          <w:szCs w:val="24"/>
        </w:rPr>
        <w:t xml:space="preserve"> муниципального округа), приняли участие 13 хозяйствующих субъектов, оказывающих услуги торговли и общественного питания, медицинские услуги.</w:t>
      </w:r>
      <w:proofErr w:type="gramEnd"/>
      <w:r w:rsidRPr="00C8257C">
        <w:rPr>
          <w:sz w:val="24"/>
          <w:szCs w:val="24"/>
        </w:rPr>
        <w:t xml:space="preserve"> По результатам конкурса 10 участников </w:t>
      </w:r>
      <w:proofErr w:type="gramStart"/>
      <w:r w:rsidRPr="00C8257C">
        <w:rPr>
          <w:sz w:val="24"/>
          <w:szCs w:val="24"/>
        </w:rPr>
        <w:t>награждены</w:t>
      </w:r>
      <w:proofErr w:type="gramEnd"/>
      <w:r w:rsidRPr="00C8257C">
        <w:rPr>
          <w:sz w:val="24"/>
          <w:szCs w:val="24"/>
        </w:rPr>
        <w:t xml:space="preserve"> подарочными сертификатами.</w:t>
      </w:r>
      <w:r>
        <w:rPr>
          <w:sz w:val="24"/>
          <w:szCs w:val="24"/>
        </w:rPr>
        <w:t xml:space="preserve"> </w:t>
      </w:r>
      <w:r w:rsidRPr="0046620F">
        <w:rPr>
          <w:sz w:val="24"/>
          <w:szCs w:val="24"/>
        </w:rPr>
        <w:t>Пров</w:t>
      </w:r>
      <w:r>
        <w:rPr>
          <w:sz w:val="24"/>
          <w:szCs w:val="24"/>
        </w:rPr>
        <w:t>о</w:t>
      </w:r>
      <w:r w:rsidRPr="0046620F">
        <w:rPr>
          <w:sz w:val="24"/>
          <w:szCs w:val="24"/>
        </w:rPr>
        <w:t>дится работа по привлечению хозяйствующих субъектов к выездной торговле при про</w:t>
      </w:r>
      <w:r>
        <w:rPr>
          <w:sz w:val="24"/>
          <w:szCs w:val="24"/>
        </w:rPr>
        <w:t>ведении праздничных мероприятий.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На территории </w:t>
      </w:r>
      <w:proofErr w:type="spellStart"/>
      <w:r>
        <w:rPr>
          <w:bCs/>
          <w:color w:val="auto"/>
          <w:sz w:val="24"/>
          <w:szCs w:val="24"/>
        </w:rPr>
        <w:t>Печенгского</w:t>
      </w:r>
      <w:proofErr w:type="spellEnd"/>
      <w:r>
        <w:rPr>
          <w:bCs/>
          <w:color w:val="auto"/>
          <w:sz w:val="24"/>
          <w:szCs w:val="24"/>
        </w:rPr>
        <w:t xml:space="preserve"> муниципального округа действуют следующие налоговые льготы по земельному налогу и налогу на имущество физических лиц:</w:t>
      </w:r>
    </w:p>
    <w:p w:rsidR="00FD2F9C" w:rsidRPr="00953FA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1)</w:t>
      </w:r>
      <w:r w:rsidRPr="00953FA2">
        <w:rPr>
          <w:color w:val="auto"/>
          <w:sz w:val="24"/>
          <w:szCs w:val="24"/>
        </w:rPr>
        <w:t xml:space="preserve">освобождение от налогообложения земельным налогом в соответствии с решением Совета депутатов </w:t>
      </w:r>
      <w:proofErr w:type="spellStart"/>
      <w:r w:rsidRPr="00953FA2">
        <w:rPr>
          <w:color w:val="auto"/>
          <w:sz w:val="24"/>
          <w:szCs w:val="24"/>
        </w:rPr>
        <w:t>Печенгского</w:t>
      </w:r>
      <w:proofErr w:type="spellEnd"/>
      <w:r w:rsidRPr="00953FA2">
        <w:rPr>
          <w:color w:val="auto"/>
          <w:sz w:val="24"/>
          <w:szCs w:val="24"/>
        </w:rPr>
        <w:t xml:space="preserve"> муниципального округа от 23.10.2020 № 39 «</w:t>
      </w:r>
      <w:r w:rsidRPr="00953FA2">
        <w:rPr>
          <w:color w:val="auto"/>
          <w:sz w:val="24"/>
          <w:szCs w:val="24"/>
          <w:lang w:val="x-none"/>
        </w:rPr>
        <w:t>Об у</w:t>
      </w:r>
      <w:r w:rsidRPr="00953FA2">
        <w:rPr>
          <w:color w:val="auto"/>
          <w:sz w:val="24"/>
          <w:szCs w:val="24"/>
        </w:rPr>
        <w:t xml:space="preserve">становлении земельного налога на территории муниципального образования </w:t>
      </w:r>
      <w:proofErr w:type="spellStart"/>
      <w:r w:rsidRPr="00953FA2">
        <w:rPr>
          <w:color w:val="auto"/>
          <w:sz w:val="24"/>
          <w:szCs w:val="24"/>
        </w:rPr>
        <w:t>Печенгский</w:t>
      </w:r>
      <w:proofErr w:type="spellEnd"/>
      <w:r w:rsidRPr="00953FA2">
        <w:rPr>
          <w:color w:val="auto"/>
          <w:sz w:val="24"/>
          <w:szCs w:val="24"/>
        </w:rPr>
        <w:t xml:space="preserve"> муниципальный округ Мурманской области»:</w:t>
      </w:r>
    </w:p>
    <w:p w:rsidR="00FD2F9C" w:rsidRPr="00953FA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953FA2">
        <w:rPr>
          <w:color w:val="auto"/>
          <w:sz w:val="24"/>
          <w:szCs w:val="24"/>
        </w:rPr>
        <w:t xml:space="preserve">- субъекты инвестиционной деятельности - юридические лица и индивидуальные предприниматели, реализующие приоритетные инвестиционные проекты на территории муниципального образования </w:t>
      </w:r>
      <w:proofErr w:type="spellStart"/>
      <w:r w:rsidRPr="00953FA2">
        <w:rPr>
          <w:color w:val="auto"/>
          <w:sz w:val="24"/>
          <w:szCs w:val="24"/>
        </w:rPr>
        <w:t>Печенгский</w:t>
      </w:r>
      <w:proofErr w:type="spellEnd"/>
      <w:r w:rsidRPr="00953FA2">
        <w:rPr>
          <w:color w:val="auto"/>
          <w:sz w:val="24"/>
          <w:szCs w:val="24"/>
        </w:rPr>
        <w:t xml:space="preserve"> муниципальный округ Мурманской области (на срок действия инвестиционного соглашения, заключаемого в целях реализации приоритетного инвестиционного проекта, но не более трех лет);</w:t>
      </w:r>
    </w:p>
    <w:p w:rsidR="00FD2F9C" w:rsidRPr="00953FA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953FA2">
        <w:rPr>
          <w:color w:val="auto"/>
          <w:sz w:val="24"/>
          <w:szCs w:val="24"/>
        </w:rPr>
        <w:t xml:space="preserve">- индивидуальные предприниматели или являющиеся коммерческой организацией юридические лица, получившие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Федерации»,  в отношении земельных участков, расположенных на территории Арктической зоны в границах муниципального образования </w:t>
      </w:r>
      <w:proofErr w:type="spellStart"/>
      <w:r w:rsidRPr="00953FA2">
        <w:rPr>
          <w:color w:val="auto"/>
          <w:sz w:val="24"/>
          <w:szCs w:val="24"/>
        </w:rPr>
        <w:t>Печенгский</w:t>
      </w:r>
      <w:proofErr w:type="spellEnd"/>
      <w:r w:rsidRPr="00953FA2">
        <w:rPr>
          <w:color w:val="auto"/>
          <w:sz w:val="24"/>
          <w:szCs w:val="24"/>
        </w:rPr>
        <w:t xml:space="preserve">  муниципальный округ, на три налоговых периода, начиная с первого числа месяца, следующего за</w:t>
      </w:r>
      <w:proofErr w:type="gramEnd"/>
      <w:r w:rsidRPr="00953FA2">
        <w:rPr>
          <w:color w:val="auto"/>
          <w:sz w:val="24"/>
          <w:szCs w:val="24"/>
        </w:rPr>
        <w:t xml:space="preserve"> месяцем включения налогоплательщиков в реестр резидентов Арктической зоны;</w:t>
      </w:r>
    </w:p>
    <w:p w:rsidR="00FD2F9C" w:rsidRPr="00953FA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>
        <w:rPr>
          <w:color w:val="auto"/>
          <w:sz w:val="24"/>
          <w:szCs w:val="24"/>
        </w:rPr>
        <w:t>2</w:t>
      </w:r>
      <w:r w:rsidRPr="00953FA2">
        <w:rPr>
          <w:color w:val="auto"/>
          <w:sz w:val="24"/>
          <w:szCs w:val="24"/>
        </w:rPr>
        <w:t>)предоставление права на налоговые льготы</w:t>
      </w:r>
      <w:r w:rsidRPr="00953FA2">
        <w:rPr>
          <w:rFonts w:eastAsiaTheme="minorHAnsi"/>
          <w:color w:val="auto"/>
          <w:sz w:val="24"/>
          <w:szCs w:val="24"/>
          <w:lang w:eastAsia="en-US"/>
        </w:rPr>
        <w:t xml:space="preserve"> по налогу на имущество физических лиц</w:t>
      </w:r>
      <w:r w:rsidRPr="00953FA2">
        <w:rPr>
          <w:color w:val="auto"/>
          <w:sz w:val="24"/>
          <w:szCs w:val="24"/>
        </w:rPr>
        <w:t xml:space="preserve"> решением Совета депутатов </w:t>
      </w:r>
      <w:proofErr w:type="spellStart"/>
      <w:r w:rsidRPr="00953FA2">
        <w:rPr>
          <w:color w:val="auto"/>
          <w:sz w:val="24"/>
          <w:szCs w:val="24"/>
        </w:rPr>
        <w:t>Печенгского</w:t>
      </w:r>
      <w:proofErr w:type="spellEnd"/>
      <w:r w:rsidRPr="00953FA2">
        <w:rPr>
          <w:color w:val="auto"/>
          <w:sz w:val="24"/>
          <w:szCs w:val="24"/>
        </w:rPr>
        <w:t xml:space="preserve"> муниципального округа от 23.10.2020 № 40 «</w:t>
      </w:r>
      <w:r w:rsidRPr="00953FA2">
        <w:rPr>
          <w:color w:val="auto"/>
          <w:sz w:val="24"/>
          <w:szCs w:val="24"/>
          <w:lang w:val="x-none"/>
        </w:rPr>
        <w:t>Об у</w:t>
      </w:r>
      <w:r w:rsidRPr="00953FA2">
        <w:rPr>
          <w:color w:val="auto"/>
          <w:sz w:val="24"/>
          <w:szCs w:val="24"/>
        </w:rPr>
        <w:t xml:space="preserve">становлении налога на имущество физических лиц на территории муниципального образования </w:t>
      </w:r>
      <w:proofErr w:type="spellStart"/>
      <w:r w:rsidRPr="00953FA2">
        <w:rPr>
          <w:color w:val="auto"/>
          <w:sz w:val="24"/>
          <w:szCs w:val="24"/>
        </w:rPr>
        <w:t>Печенгский</w:t>
      </w:r>
      <w:proofErr w:type="spellEnd"/>
      <w:r w:rsidRPr="00953FA2">
        <w:rPr>
          <w:color w:val="auto"/>
          <w:sz w:val="24"/>
          <w:szCs w:val="24"/>
        </w:rPr>
        <w:t xml:space="preserve"> муниципальный округ Мурманской области» начиная с 2021 года </w:t>
      </w:r>
      <w:r w:rsidRPr="00953FA2">
        <w:rPr>
          <w:rFonts w:eastAsiaTheme="minorHAnsi"/>
          <w:color w:val="auto"/>
          <w:sz w:val="24"/>
          <w:szCs w:val="24"/>
          <w:lang w:eastAsia="en-US"/>
        </w:rPr>
        <w:t>индивидуальным предпринимателям, получившим статус резидента Арктической зоны в соответствии с Федеральным законом от 13.07.2020 № 193-ФЗ "О государственной поддержке предпринимательской</w:t>
      </w:r>
      <w:proofErr w:type="gramEnd"/>
      <w:r w:rsidRPr="00953FA2">
        <w:rPr>
          <w:rFonts w:eastAsiaTheme="minorHAnsi"/>
          <w:color w:val="auto"/>
          <w:sz w:val="24"/>
          <w:szCs w:val="24"/>
          <w:lang w:eastAsia="en-US"/>
        </w:rPr>
        <w:t xml:space="preserve"> деятельности в Арктической зоне Российской Федерации" (далее -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FD2F9C" w:rsidRPr="00953FA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53FA2">
        <w:rPr>
          <w:rFonts w:eastAsiaTheme="minorHAnsi"/>
          <w:color w:val="auto"/>
          <w:sz w:val="24"/>
          <w:szCs w:val="24"/>
          <w:lang w:eastAsia="en-US"/>
        </w:rPr>
        <w:t xml:space="preserve">- в размере подлежащей уплате налогоплательщиком суммы налога в отношении </w:t>
      </w:r>
      <w:r w:rsidRPr="00953FA2">
        <w:rPr>
          <w:rFonts w:eastAsiaTheme="minorHAnsi"/>
          <w:color w:val="auto"/>
          <w:sz w:val="24"/>
          <w:szCs w:val="24"/>
          <w:lang w:eastAsia="en-US"/>
        </w:rPr>
        <w:lastRenderedPageBreak/>
        <w:t>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имущество;</w:t>
      </w:r>
    </w:p>
    <w:p w:rsidR="00FD2F9C" w:rsidRPr="00953FA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53FA2">
        <w:rPr>
          <w:rFonts w:eastAsiaTheme="minorHAnsi"/>
          <w:color w:val="auto"/>
          <w:sz w:val="24"/>
          <w:szCs w:val="24"/>
          <w:lang w:eastAsia="en-US"/>
        </w:rPr>
        <w:t>- в размере 50 процентов от суммы налога, подлежащей уплате, в течение последующих пяти лет;</w:t>
      </w:r>
    </w:p>
    <w:p w:rsidR="00FD2F9C" w:rsidRPr="004943B4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943B4">
        <w:rPr>
          <w:color w:val="auto"/>
          <w:sz w:val="24"/>
          <w:szCs w:val="24"/>
        </w:rPr>
        <w:t xml:space="preserve">Среднесписочная численность работников субъектов малого и среднего предпринимательства (далее ‒ субъекты МСП) – юридических лиц в связи с тем, что сплошное статистическое наблюдения за деятельностью малого и среднего бизнеса проводится раз в пять лет, рассчитана на основе данных Единого реестра, полученных на сайте </w:t>
      </w:r>
      <w:proofErr w:type="spellStart"/>
      <w:r w:rsidRPr="004943B4">
        <w:rPr>
          <w:color w:val="auto"/>
          <w:sz w:val="24"/>
          <w:szCs w:val="24"/>
          <w:lang w:val="en-US"/>
        </w:rPr>
        <w:t>ofd</w:t>
      </w:r>
      <w:proofErr w:type="spellEnd"/>
      <w:r w:rsidRPr="004943B4">
        <w:rPr>
          <w:color w:val="auto"/>
          <w:sz w:val="24"/>
          <w:szCs w:val="24"/>
        </w:rPr>
        <w:t xml:space="preserve">.nalog.ru. </w:t>
      </w:r>
    </w:p>
    <w:p w:rsidR="00FD2F9C" w:rsidRPr="00807BA8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943B4">
        <w:rPr>
          <w:color w:val="auto"/>
          <w:sz w:val="24"/>
          <w:szCs w:val="24"/>
        </w:rPr>
        <w:t xml:space="preserve">Среднесписочная численность работников (без внешних совместителей) по итогам 2023 года в малых предприятиях (в </w:t>
      </w:r>
      <w:proofErr w:type="spellStart"/>
      <w:r w:rsidRPr="004943B4">
        <w:rPr>
          <w:color w:val="auto"/>
          <w:sz w:val="24"/>
          <w:szCs w:val="24"/>
        </w:rPr>
        <w:t>т.ч</w:t>
      </w:r>
      <w:proofErr w:type="spellEnd"/>
      <w:r w:rsidRPr="004943B4">
        <w:rPr>
          <w:color w:val="auto"/>
          <w:sz w:val="24"/>
          <w:szCs w:val="24"/>
        </w:rPr>
        <w:t xml:space="preserve">. </w:t>
      </w:r>
      <w:proofErr w:type="spellStart"/>
      <w:r w:rsidRPr="004943B4">
        <w:rPr>
          <w:color w:val="auto"/>
          <w:sz w:val="24"/>
          <w:szCs w:val="24"/>
        </w:rPr>
        <w:t>микропредприятиях</w:t>
      </w:r>
      <w:proofErr w:type="spellEnd"/>
      <w:r w:rsidRPr="004943B4">
        <w:rPr>
          <w:color w:val="auto"/>
          <w:sz w:val="24"/>
          <w:szCs w:val="24"/>
        </w:rPr>
        <w:t xml:space="preserve">) составляла </w:t>
      </w:r>
      <w:r w:rsidRPr="00807BA8">
        <w:rPr>
          <w:color w:val="auto"/>
          <w:sz w:val="24"/>
          <w:szCs w:val="24"/>
        </w:rPr>
        <w:t xml:space="preserve">556 человек. Наиболее распространенными видами деятельности являются: розничная торговля, обрабатывающие производства, строительство, деятельность гостиниц и общественного питания. По оценке, среднесписочная численность работников малых предприятий </w:t>
      </w:r>
      <w:proofErr w:type="gramStart"/>
      <w:r w:rsidRPr="00807BA8">
        <w:rPr>
          <w:color w:val="auto"/>
          <w:sz w:val="24"/>
          <w:szCs w:val="24"/>
        </w:rPr>
        <w:t>на конец</w:t>
      </w:r>
      <w:proofErr w:type="gramEnd"/>
      <w:r w:rsidRPr="00807BA8">
        <w:rPr>
          <w:color w:val="auto"/>
          <w:sz w:val="24"/>
          <w:szCs w:val="24"/>
        </w:rPr>
        <w:t xml:space="preserve"> 2024 года составит 551 человек.</w:t>
      </w:r>
    </w:p>
    <w:p w:rsidR="00FD2F9C" w:rsidRPr="00807BA8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4943B4">
        <w:rPr>
          <w:color w:val="auto"/>
          <w:sz w:val="24"/>
          <w:szCs w:val="24"/>
        </w:rPr>
        <w:t xml:space="preserve">Прогнозное количество юридических лиц – малых и </w:t>
      </w:r>
      <w:proofErr w:type="spellStart"/>
      <w:r w:rsidRPr="004943B4">
        <w:rPr>
          <w:color w:val="auto"/>
          <w:sz w:val="24"/>
          <w:szCs w:val="24"/>
        </w:rPr>
        <w:t>микропредприятий</w:t>
      </w:r>
      <w:proofErr w:type="spellEnd"/>
      <w:r w:rsidRPr="004943B4">
        <w:rPr>
          <w:color w:val="auto"/>
          <w:sz w:val="24"/>
          <w:szCs w:val="24"/>
        </w:rPr>
        <w:t xml:space="preserve"> </w:t>
      </w:r>
      <w:proofErr w:type="gramStart"/>
      <w:r w:rsidRPr="004943B4">
        <w:rPr>
          <w:color w:val="auto"/>
          <w:sz w:val="24"/>
          <w:szCs w:val="24"/>
        </w:rPr>
        <w:t>на конец</w:t>
      </w:r>
      <w:proofErr w:type="gramEnd"/>
      <w:r w:rsidRPr="004943B4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4</w:t>
      </w:r>
      <w:r w:rsidRPr="004943B4">
        <w:rPr>
          <w:color w:val="auto"/>
          <w:sz w:val="24"/>
          <w:szCs w:val="24"/>
        </w:rPr>
        <w:t xml:space="preserve"> года составит </w:t>
      </w:r>
      <w:r w:rsidRPr="00807BA8">
        <w:rPr>
          <w:color w:val="auto"/>
          <w:sz w:val="24"/>
          <w:szCs w:val="24"/>
        </w:rPr>
        <w:t xml:space="preserve">149 единиц. 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FF0000"/>
          <w:sz w:val="24"/>
          <w:szCs w:val="24"/>
          <w:highlight w:val="yellow"/>
        </w:rPr>
      </w:pPr>
      <w:r w:rsidRPr="00807BA8">
        <w:rPr>
          <w:color w:val="auto"/>
          <w:sz w:val="24"/>
          <w:szCs w:val="24"/>
        </w:rPr>
        <w:t xml:space="preserve">Число индивидуальных предпринимателей </w:t>
      </w:r>
      <w:proofErr w:type="gramStart"/>
      <w:r w:rsidRPr="00807BA8">
        <w:rPr>
          <w:color w:val="auto"/>
          <w:sz w:val="24"/>
          <w:szCs w:val="24"/>
        </w:rPr>
        <w:t>на конец</w:t>
      </w:r>
      <w:proofErr w:type="gramEnd"/>
      <w:r w:rsidRPr="00807BA8">
        <w:rPr>
          <w:color w:val="auto"/>
          <w:sz w:val="24"/>
          <w:szCs w:val="24"/>
        </w:rPr>
        <w:t xml:space="preserve"> 2024 года оценивается в количестве 708 единиц. </w:t>
      </w:r>
      <w:r w:rsidRPr="000F3CAE">
        <w:rPr>
          <w:color w:val="FF0000"/>
          <w:sz w:val="28"/>
          <w:szCs w:val="28"/>
        </w:rPr>
        <w:t xml:space="preserve">    </w:t>
      </w:r>
    </w:p>
    <w:p w:rsidR="00FD2F9C" w:rsidRPr="00556745" w:rsidRDefault="00FD2F9C" w:rsidP="00FD2F9C">
      <w:pPr>
        <w:contextualSpacing/>
        <w:jc w:val="center"/>
        <w:rPr>
          <w:b/>
          <w:color w:val="auto"/>
          <w:sz w:val="24"/>
          <w:szCs w:val="24"/>
        </w:rPr>
      </w:pPr>
      <w:r w:rsidRPr="00556745">
        <w:rPr>
          <w:b/>
          <w:color w:val="auto"/>
          <w:sz w:val="24"/>
          <w:szCs w:val="24"/>
        </w:rPr>
        <w:t>5. Инвестиции и строительство</w:t>
      </w:r>
    </w:p>
    <w:p w:rsidR="00FD2F9C" w:rsidRPr="00AD3FD7" w:rsidRDefault="00FD2F9C" w:rsidP="00FD2F9C">
      <w:pPr>
        <w:ind w:firstLine="709"/>
        <w:contextualSpacing/>
        <w:jc w:val="both"/>
        <w:rPr>
          <w:bCs/>
          <w:color w:val="FF0000"/>
          <w:sz w:val="24"/>
          <w:szCs w:val="24"/>
          <w:highlight w:val="yellow"/>
        </w:rPr>
      </w:pPr>
    </w:p>
    <w:p w:rsidR="00FD2F9C" w:rsidRPr="00932DFC" w:rsidRDefault="00FD2F9C" w:rsidP="00FD2F9C">
      <w:pPr>
        <w:pStyle w:val="Default"/>
        <w:ind w:firstLine="709"/>
        <w:jc w:val="both"/>
        <w:rPr>
          <w:color w:val="auto"/>
        </w:rPr>
      </w:pPr>
      <w:proofErr w:type="gramStart"/>
      <w:r w:rsidRPr="004943B4">
        <w:rPr>
          <w:color w:val="auto"/>
        </w:rPr>
        <w:t xml:space="preserve">По предварительным данным с учетом экспертного </w:t>
      </w:r>
      <w:proofErr w:type="spellStart"/>
      <w:r w:rsidRPr="004943B4">
        <w:rPr>
          <w:color w:val="auto"/>
        </w:rPr>
        <w:t>досчета</w:t>
      </w:r>
      <w:proofErr w:type="spellEnd"/>
      <w:r w:rsidRPr="004943B4">
        <w:rPr>
          <w:color w:val="auto"/>
        </w:rPr>
        <w:t xml:space="preserve"> по субъектам малого предпринимательства объем инвестиций в основной капитал за счет всех источников финансирования по полному кругу организаций </w:t>
      </w:r>
      <w:proofErr w:type="spellStart"/>
      <w:r w:rsidRPr="004943B4">
        <w:rPr>
          <w:color w:val="auto"/>
        </w:rPr>
        <w:t>Печенгского</w:t>
      </w:r>
      <w:proofErr w:type="spellEnd"/>
      <w:r w:rsidRPr="004943B4">
        <w:rPr>
          <w:color w:val="auto"/>
        </w:rPr>
        <w:t xml:space="preserve"> муниципального округа  за 202</w:t>
      </w:r>
      <w:r>
        <w:rPr>
          <w:color w:val="auto"/>
        </w:rPr>
        <w:t>3</w:t>
      </w:r>
      <w:r w:rsidRPr="004943B4">
        <w:rPr>
          <w:color w:val="auto"/>
        </w:rPr>
        <w:t xml:space="preserve"> год </w:t>
      </w:r>
      <w:r w:rsidRPr="00932DFC">
        <w:rPr>
          <w:color w:val="auto"/>
        </w:rPr>
        <w:t>составил 7 599,0 млн. рублей, в том числе за счет бюджетных средств – 238,1 млн. рублей, собственных средств – 7 7 342,0 млн. рублей, за счет прочих источников – 18,9 млн. рублей.</w:t>
      </w:r>
      <w:proofErr w:type="gramEnd"/>
    </w:p>
    <w:p w:rsidR="00FD2F9C" w:rsidRPr="004943B4" w:rsidRDefault="00FD2F9C" w:rsidP="00FD2F9C">
      <w:pPr>
        <w:pStyle w:val="Default"/>
        <w:ind w:firstLine="709"/>
        <w:jc w:val="both"/>
        <w:rPr>
          <w:color w:val="auto"/>
        </w:rPr>
      </w:pPr>
      <w:r w:rsidRPr="004943B4">
        <w:rPr>
          <w:color w:val="auto"/>
        </w:rPr>
        <w:t>Основные инвестиционные проекты реализующиеся (реализованные) в 202</w:t>
      </w:r>
      <w:r>
        <w:rPr>
          <w:color w:val="auto"/>
        </w:rPr>
        <w:t>3</w:t>
      </w:r>
      <w:r w:rsidRPr="004943B4">
        <w:rPr>
          <w:color w:val="auto"/>
        </w:rPr>
        <w:t xml:space="preserve"> году:</w:t>
      </w:r>
    </w:p>
    <w:p w:rsidR="00FD2F9C" w:rsidRDefault="00FD2F9C" w:rsidP="00FD2F9C">
      <w:pPr>
        <w:pStyle w:val="Default"/>
        <w:ind w:firstLine="709"/>
        <w:jc w:val="both"/>
        <w:rPr>
          <w:color w:val="auto"/>
        </w:rPr>
      </w:pPr>
      <w:r w:rsidRPr="001B39E5">
        <w:rPr>
          <w:color w:val="auto"/>
        </w:rPr>
        <w:t>- строительство одноагрегатной малой гидроэлектростанции на реке Паз (период реализации 2021 -2026 гг.);</w:t>
      </w:r>
    </w:p>
    <w:p w:rsidR="00FD2F9C" w:rsidRPr="001B39E5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9D46CA">
        <w:rPr>
          <w:color w:val="auto"/>
          <w:sz w:val="24"/>
          <w:szCs w:val="24"/>
        </w:rPr>
        <w:t xml:space="preserve">- реализация инвестиционного проекта «Оборудование многоквартирных жилых домов интеллектуальной системой учета» в рамках инвестиционной программы на 2023-2025 </w:t>
      </w:r>
      <w:proofErr w:type="spellStart"/>
      <w:proofErr w:type="gramStart"/>
      <w:r w:rsidRPr="009D46CA">
        <w:rPr>
          <w:color w:val="auto"/>
          <w:sz w:val="24"/>
          <w:szCs w:val="24"/>
        </w:rPr>
        <w:t>гг</w:t>
      </w:r>
      <w:proofErr w:type="spellEnd"/>
      <w:proofErr w:type="gramEnd"/>
      <w:r w:rsidRPr="009D46CA">
        <w:rPr>
          <w:color w:val="auto"/>
          <w:sz w:val="24"/>
          <w:szCs w:val="24"/>
        </w:rPr>
        <w:t xml:space="preserve"> АО «</w:t>
      </w:r>
      <w:proofErr w:type="spellStart"/>
      <w:r w:rsidRPr="009D46CA">
        <w:rPr>
          <w:color w:val="auto"/>
          <w:sz w:val="24"/>
          <w:szCs w:val="24"/>
        </w:rPr>
        <w:t>АтомЭнергоСбыт</w:t>
      </w:r>
      <w:proofErr w:type="spellEnd"/>
      <w:r w:rsidRPr="009D46CA">
        <w:rPr>
          <w:color w:val="auto"/>
          <w:sz w:val="24"/>
          <w:szCs w:val="24"/>
        </w:rPr>
        <w:t>»;</w:t>
      </w:r>
    </w:p>
    <w:p w:rsidR="00FD2F9C" w:rsidRPr="002900C7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900C7"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 w:rsidRPr="002900C7">
        <w:rPr>
          <w:color w:val="auto"/>
          <w:sz w:val="24"/>
          <w:szCs w:val="24"/>
        </w:rPr>
        <w:t>смолтовый</w:t>
      </w:r>
      <w:proofErr w:type="spellEnd"/>
      <w:r w:rsidRPr="002900C7">
        <w:rPr>
          <w:color w:val="auto"/>
          <w:sz w:val="24"/>
          <w:szCs w:val="24"/>
        </w:rPr>
        <w:t xml:space="preserve">) завод по выращиванию посадочного материала атлантического лосося и форели в </w:t>
      </w:r>
      <w:proofErr w:type="spellStart"/>
      <w:r w:rsidRPr="002900C7">
        <w:rPr>
          <w:color w:val="auto"/>
          <w:sz w:val="24"/>
          <w:szCs w:val="24"/>
        </w:rPr>
        <w:t>Печенгском</w:t>
      </w:r>
      <w:proofErr w:type="spellEnd"/>
      <w:r w:rsidRPr="002900C7">
        <w:rPr>
          <w:color w:val="auto"/>
          <w:sz w:val="24"/>
          <w:szCs w:val="24"/>
        </w:rPr>
        <w:t xml:space="preserve"> районе Мурманской области (период реализации 2021-2025 гг.);</w:t>
      </w:r>
    </w:p>
    <w:p w:rsidR="00FD2F9C" w:rsidRPr="00506E99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506E99">
        <w:rPr>
          <w:color w:val="auto"/>
          <w:sz w:val="24"/>
          <w:szCs w:val="24"/>
        </w:rPr>
        <w:t xml:space="preserve">- комплекс объектов </w:t>
      </w:r>
      <w:proofErr w:type="spellStart"/>
      <w:r w:rsidRPr="00506E99">
        <w:rPr>
          <w:color w:val="auto"/>
          <w:sz w:val="24"/>
          <w:szCs w:val="24"/>
        </w:rPr>
        <w:t>марикультуры</w:t>
      </w:r>
      <w:proofErr w:type="spellEnd"/>
      <w:r w:rsidRPr="00506E99"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FD2F9C" w:rsidRPr="00270C0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70C0C">
        <w:rPr>
          <w:color w:val="auto"/>
          <w:sz w:val="24"/>
          <w:szCs w:val="24"/>
        </w:rPr>
        <w:t>- база отдыха «Студеный берег» (срок реализации 2021-2023 гг.);</w:t>
      </w:r>
    </w:p>
    <w:p w:rsidR="00FD2F9C" w:rsidRPr="00270C0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70C0C"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FD2F9C" w:rsidRPr="00384362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84362"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</w:t>
      </w:r>
      <w:r>
        <w:rPr>
          <w:color w:val="auto"/>
          <w:sz w:val="24"/>
          <w:szCs w:val="24"/>
        </w:rPr>
        <w:t xml:space="preserve">предполагаемый </w:t>
      </w:r>
      <w:r w:rsidRPr="00384362">
        <w:rPr>
          <w:color w:val="auto"/>
          <w:sz w:val="24"/>
          <w:szCs w:val="24"/>
        </w:rPr>
        <w:t>срок реализации 2021-2025 гг.);</w:t>
      </w:r>
    </w:p>
    <w:p w:rsidR="00FD2F9C" w:rsidRPr="00270C0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70C0C">
        <w:rPr>
          <w:color w:val="auto"/>
          <w:sz w:val="24"/>
          <w:szCs w:val="24"/>
        </w:rPr>
        <w:t xml:space="preserve">- строительство туристического комплекса в </w:t>
      </w:r>
      <w:proofErr w:type="spellStart"/>
      <w:r w:rsidRPr="00270C0C">
        <w:rPr>
          <w:color w:val="auto"/>
          <w:sz w:val="24"/>
          <w:szCs w:val="24"/>
        </w:rPr>
        <w:t>Печенгском</w:t>
      </w:r>
      <w:proofErr w:type="spellEnd"/>
      <w:r w:rsidRPr="00270C0C">
        <w:rPr>
          <w:color w:val="auto"/>
          <w:sz w:val="24"/>
          <w:szCs w:val="24"/>
        </w:rPr>
        <w:t xml:space="preserve"> округе (срок реализации 2022-2026 гг.);</w:t>
      </w:r>
    </w:p>
    <w:p w:rsidR="00FD2F9C" w:rsidRPr="00506E99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506E99"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FD2F9C" w:rsidRPr="00384362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84362">
        <w:rPr>
          <w:color w:val="auto"/>
          <w:sz w:val="24"/>
          <w:szCs w:val="24"/>
        </w:rPr>
        <w:lastRenderedPageBreak/>
        <w:t>- туристический кластер «</w:t>
      </w:r>
      <w:proofErr w:type="spellStart"/>
      <w:r w:rsidRPr="00384362">
        <w:rPr>
          <w:color w:val="auto"/>
          <w:sz w:val="24"/>
          <w:szCs w:val="24"/>
        </w:rPr>
        <w:t>Валла-Тунтури</w:t>
      </w:r>
      <w:proofErr w:type="spellEnd"/>
      <w:r w:rsidRPr="00384362">
        <w:rPr>
          <w:color w:val="auto"/>
          <w:sz w:val="24"/>
          <w:szCs w:val="24"/>
        </w:rPr>
        <w:t>» (срок реализации 2021-2026 гг.);</w:t>
      </w:r>
    </w:p>
    <w:p w:rsidR="00FD2F9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9D46CA">
        <w:rPr>
          <w:color w:val="auto"/>
          <w:sz w:val="24"/>
          <w:szCs w:val="24"/>
        </w:rPr>
        <w:t xml:space="preserve">- строительство </w:t>
      </w:r>
      <w:proofErr w:type="spellStart"/>
      <w:r w:rsidRPr="009D46CA">
        <w:rPr>
          <w:color w:val="auto"/>
          <w:sz w:val="24"/>
          <w:szCs w:val="24"/>
        </w:rPr>
        <w:t>глэмпинга</w:t>
      </w:r>
      <w:proofErr w:type="spellEnd"/>
      <w:r w:rsidRPr="009D46CA">
        <w:rPr>
          <w:color w:val="auto"/>
          <w:sz w:val="24"/>
          <w:szCs w:val="24"/>
        </w:rPr>
        <w:t xml:space="preserve"> и кафе на берегу озера </w:t>
      </w:r>
      <w:proofErr w:type="spellStart"/>
      <w:r w:rsidRPr="009D46CA">
        <w:rPr>
          <w:color w:val="auto"/>
          <w:sz w:val="24"/>
          <w:szCs w:val="24"/>
        </w:rPr>
        <w:t>Куэтсъярви</w:t>
      </w:r>
      <w:proofErr w:type="spellEnd"/>
      <w:r w:rsidRPr="009D46CA">
        <w:rPr>
          <w:color w:val="auto"/>
          <w:sz w:val="24"/>
          <w:szCs w:val="24"/>
        </w:rPr>
        <w:t xml:space="preserve"> (срок реализации 2021-2025 гг.);</w:t>
      </w:r>
    </w:p>
    <w:p w:rsidR="00FD2F9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6F70DE">
        <w:rPr>
          <w:color w:val="auto"/>
          <w:sz w:val="24"/>
          <w:szCs w:val="24"/>
        </w:rPr>
        <w:t xml:space="preserve">реконструкция ДК «Восход» в </w:t>
      </w:r>
      <w:proofErr w:type="spellStart"/>
      <w:r w:rsidRPr="006F70DE">
        <w:rPr>
          <w:color w:val="auto"/>
          <w:sz w:val="24"/>
          <w:szCs w:val="24"/>
        </w:rPr>
        <w:t>пгт</w:t>
      </w:r>
      <w:proofErr w:type="spellEnd"/>
      <w:r w:rsidRPr="006F70DE">
        <w:rPr>
          <w:color w:val="auto"/>
          <w:sz w:val="24"/>
          <w:szCs w:val="24"/>
        </w:rPr>
        <w:t>. Никель (срок реализации 2021-2025 гг.);</w:t>
      </w:r>
    </w:p>
    <w:p w:rsidR="00FD2F9C" w:rsidRPr="006F70DE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6F70DE">
        <w:rPr>
          <w:color w:val="auto"/>
          <w:sz w:val="24"/>
          <w:szCs w:val="24"/>
        </w:rPr>
        <w:t xml:space="preserve">строительство начальной школы в </w:t>
      </w:r>
      <w:proofErr w:type="spellStart"/>
      <w:r w:rsidRPr="006F70DE">
        <w:rPr>
          <w:color w:val="auto"/>
          <w:sz w:val="24"/>
          <w:szCs w:val="24"/>
        </w:rPr>
        <w:t>пгт</w:t>
      </w:r>
      <w:proofErr w:type="spellEnd"/>
      <w:r w:rsidRPr="006F70DE">
        <w:rPr>
          <w:color w:val="auto"/>
          <w:sz w:val="24"/>
          <w:szCs w:val="24"/>
        </w:rPr>
        <w:t>. Печенга на 250 мест (срок реализации 2023-2024 гг.);</w:t>
      </w:r>
    </w:p>
    <w:p w:rsidR="00FD2F9C" w:rsidRPr="0037146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</w:t>
      </w:r>
      <w:proofErr w:type="gramStart"/>
      <w:r w:rsidRPr="0037146D">
        <w:rPr>
          <w:color w:val="auto"/>
          <w:sz w:val="24"/>
          <w:szCs w:val="24"/>
        </w:rPr>
        <w:t>модульного</w:t>
      </w:r>
      <w:proofErr w:type="gramEnd"/>
      <w:r w:rsidRPr="0037146D">
        <w:rPr>
          <w:color w:val="auto"/>
          <w:sz w:val="24"/>
          <w:szCs w:val="24"/>
        </w:rPr>
        <w:t xml:space="preserve"> ФАП в </w:t>
      </w:r>
      <w:proofErr w:type="spellStart"/>
      <w:r w:rsidRPr="0037146D">
        <w:rPr>
          <w:color w:val="auto"/>
          <w:sz w:val="24"/>
          <w:szCs w:val="24"/>
        </w:rPr>
        <w:t>нп</w:t>
      </w:r>
      <w:proofErr w:type="spellEnd"/>
      <w:r w:rsidRPr="0037146D">
        <w:rPr>
          <w:color w:val="auto"/>
          <w:sz w:val="24"/>
          <w:szCs w:val="24"/>
        </w:rPr>
        <w:t xml:space="preserve">. </w:t>
      </w:r>
      <w:proofErr w:type="spellStart"/>
      <w:r w:rsidRPr="0037146D">
        <w:rPr>
          <w:color w:val="auto"/>
          <w:sz w:val="24"/>
          <w:szCs w:val="24"/>
        </w:rPr>
        <w:t>Корзуново</w:t>
      </w:r>
      <w:proofErr w:type="spellEnd"/>
      <w:r w:rsidRPr="0037146D">
        <w:rPr>
          <w:color w:val="auto"/>
          <w:sz w:val="24"/>
          <w:szCs w:val="24"/>
        </w:rPr>
        <w:t>;</w:t>
      </w:r>
    </w:p>
    <w:p w:rsidR="00FD2F9C" w:rsidRPr="0037146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</w:t>
      </w:r>
      <w:proofErr w:type="gramStart"/>
      <w:r w:rsidRPr="0037146D">
        <w:rPr>
          <w:color w:val="auto"/>
          <w:sz w:val="24"/>
          <w:szCs w:val="24"/>
        </w:rPr>
        <w:t>модульного</w:t>
      </w:r>
      <w:proofErr w:type="gramEnd"/>
      <w:r w:rsidRPr="0037146D">
        <w:rPr>
          <w:color w:val="auto"/>
          <w:sz w:val="24"/>
          <w:szCs w:val="24"/>
        </w:rPr>
        <w:t xml:space="preserve"> ФАП в </w:t>
      </w:r>
      <w:proofErr w:type="spellStart"/>
      <w:r w:rsidRPr="0037146D">
        <w:rPr>
          <w:color w:val="auto"/>
          <w:sz w:val="24"/>
          <w:szCs w:val="24"/>
        </w:rPr>
        <w:t>нп</w:t>
      </w:r>
      <w:proofErr w:type="spellEnd"/>
      <w:r w:rsidRPr="0037146D">
        <w:rPr>
          <w:color w:val="auto"/>
          <w:sz w:val="24"/>
          <w:szCs w:val="24"/>
        </w:rPr>
        <w:t xml:space="preserve">. </w:t>
      </w:r>
      <w:proofErr w:type="spellStart"/>
      <w:r w:rsidRPr="0037146D">
        <w:rPr>
          <w:color w:val="auto"/>
          <w:sz w:val="24"/>
          <w:szCs w:val="24"/>
        </w:rPr>
        <w:t>Лиинахамари</w:t>
      </w:r>
      <w:proofErr w:type="spellEnd"/>
      <w:r w:rsidRPr="0037146D">
        <w:rPr>
          <w:color w:val="auto"/>
          <w:sz w:val="24"/>
          <w:szCs w:val="24"/>
        </w:rPr>
        <w:t>;</w:t>
      </w:r>
    </w:p>
    <w:p w:rsidR="00FD2F9C" w:rsidRPr="0037146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модульной амбулатории в </w:t>
      </w:r>
      <w:proofErr w:type="spellStart"/>
      <w:r w:rsidRPr="0037146D">
        <w:rPr>
          <w:color w:val="auto"/>
          <w:sz w:val="24"/>
          <w:szCs w:val="24"/>
        </w:rPr>
        <w:t>пгт</w:t>
      </w:r>
      <w:proofErr w:type="spellEnd"/>
      <w:r w:rsidRPr="0037146D">
        <w:rPr>
          <w:color w:val="auto"/>
          <w:sz w:val="24"/>
          <w:szCs w:val="24"/>
        </w:rPr>
        <w:t>. Печенга;</w:t>
      </w:r>
    </w:p>
    <w:p w:rsidR="00FD2F9C" w:rsidRPr="0037146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</w:t>
      </w:r>
      <w:proofErr w:type="gramStart"/>
      <w:r w:rsidRPr="0037146D">
        <w:rPr>
          <w:color w:val="auto"/>
          <w:sz w:val="24"/>
          <w:szCs w:val="24"/>
        </w:rPr>
        <w:t>модульного</w:t>
      </w:r>
      <w:proofErr w:type="gramEnd"/>
      <w:r w:rsidRPr="0037146D">
        <w:rPr>
          <w:color w:val="auto"/>
          <w:sz w:val="24"/>
          <w:szCs w:val="24"/>
        </w:rPr>
        <w:t xml:space="preserve"> ФАП в </w:t>
      </w:r>
      <w:proofErr w:type="spellStart"/>
      <w:r w:rsidRPr="0037146D">
        <w:rPr>
          <w:color w:val="auto"/>
          <w:sz w:val="24"/>
          <w:szCs w:val="24"/>
        </w:rPr>
        <w:t>нп</w:t>
      </w:r>
      <w:proofErr w:type="spellEnd"/>
      <w:r w:rsidRPr="0037146D">
        <w:rPr>
          <w:color w:val="auto"/>
          <w:sz w:val="24"/>
          <w:szCs w:val="24"/>
        </w:rPr>
        <w:t>. Спутник;</w:t>
      </w:r>
    </w:p>
    <w:p w:rsidR="00FD2F9C" w:rsidRPr="007C4B93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 xml:space="preserve">- капитальный ремонт домов в поселке Спутник, </w:t>
      </w:r>
      <w:proofErr w:type="spellStart"/>
      <w:r w:rsidRPr="007C4B93">
        <w:rPr>
          <w:color w:val="auto"/>
          <w:sz w:val="24"/>
          <w:szCs w:val="24"/>
        </w:rPr>
        <w:t>пгт</w:t>
      </w:r>
      <w:proofErr w:type="spellEnd"/>
      <w:r w:rsidRPr="007C4B93">
        <w:rPr>
          <w:color w:val="auto"/>
          <w:sz w:val="24"/>
          <w:szCs w:val="24"/>
        </w:rPr>
        <w:t xml:space="preserve"> Печенга, поселке 19 км;</w:t>
      </w:r>
    </w:p>
    <w:p w:rsidR="00FD2F9C" w:rsidRPr="007C4B93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D3FD7">
        <w:rPr>
          <w:color w:val="FF0000"/>
          <w:sz w:val="24"/>
          <w:szCs w:val="24"/>
        </w:rPr>
        <w:t xml:space="preserve"> </w:t>
      </w:r>
      <w:r w:rsidRPr="007C4B93">
        <w:rPr>
          <w:color w:val="auto"/>
          <w:sz w:val="24"/>
          <w:szCs w:val="24"/>
        </w:rPr>
        <w:t>- с</w:t>
      </w:r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 xml:space="preserve">троительство нового кладбища в МГОП Никель в районе                                          3 км автодороги </w:t>
      </w:r>
      <w:proofErr w:type="gramStart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 xml:space="preserve">благоустройство Площади металлургов в </w:t>
      </w:r>
      <w:proofErr w:type="spellStart"/>
      <w:r w:rsidRPr="007C4B93">
        <w:rPr>
          <w:color w:val="auto"/>
          <w:sz w:val="24"/>
          <w:szCs w:val="24"/>
        </w:rPr>
        <w:t>пгт</w:t>
      </w:r>
      <w:proofErr w:type="spellEnd"/>
      <w:r w:rsidRPr="007C4B93">
        <w:rPr>
          <w:color w:val="auto"/>
          <w:sz w:val="24"/>
          <w:szCs w:val="24"/>
        </w:rPr>
        <w:t xml:space="preserve"> Никель;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«Тропа здоровья» в </w:t>
      </w:r>
      <w:proofErr w:type="spellStart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.</w:t>
      </w:r>
    </w:p>
    <w:p w:rsidR="00FD2F9C" w:rsidRPr="001D54FF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</w:rPr>
        <w:t>По официальным статистическим данным о</w:t>
      </w:r>
      <w:r w:rsidRPr="001D54FF">
        <w:rPr>
          <w:color w:val="auto"/>
          <w:sz w:val="24"/>
          <w:szCs w:val="24"/>
        </w:rPr>
        <w:t xml:space="preserve">бъем инвестиций в основной капитал </w:t>
      </w:r>
      <w:proofErr w:type="gramStart"/>
      <w:r w:rsidRPr="001D54FF">
        <w:rPr>
          <w:color w:val="auto"/>
          <w:sz w:val="24"/>
          <w:szCs w:val="24"/>
        </w:rPr>
        <w:t>по</w:t>
      </w:r>
      <w:proofErr w:type="gramEnd"/>
      <w:r w:rsidRPr="001D54FF">
        <w:rPr>
          <w:color w:val="auto"/>
          <w:sz w:val="24"/>
          <w:szCs w:val="24"/>
        </w:rPr>
        <w:t xml:space="preserve"> </w:t>
      </w:r>
      <w:proofErr w:type="gramStart"/>
      <w:r w:rsidRPr="001D54FF">
        <w:rPr>
          <w:color w:val="auto"/>
          <w:sz w:val="24"/>
          <w:szCs w:val="24"/>
        </w:rPr>
        <w:t>крупным</w:t>
      </w:r>
      <w:proofErr w:type="gramEnd"/>
      <w:r w:rsidRPr="001D54FF">
        <w:rPr>
          <w:color w:val="auto"/>
          <w:sz w:val="24"/>
          <w:szCs w:val="24"/>
        </w:rPr>
        <w:t xml:space="preserve"> и средним организациям за 1 полугодие 2024 года по сравнению с соответствующим периодом 2023 года увеличился на 82,0 % и составил 2 755,9 млн. рублей. </w:t>
      </w:r>
    </w:p>
    <w:p w:rsidR="00FD2F9C" w:rsidRPr="001D54FF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1D54FF">
        <w:rPr>
          <w:color w:val="auto"/>
          <w:sz w:val="24"/>
          <w:szCs w:val="24"/>
        </w:rPr>
        <w:t xml:space="preserve">Структура инвестиций в основной капитал крупных и средних организаций за 1 полугодие 2024 года: 95,5 % – собственные средства, 4,5 % – привлеченные средства (из них бюджетные средства – 117,4 млн. рублей (95,2 % привлеченных средств), прочие привлеченные средства – 6,0 млн. рублей (4,8 % привлеченных средств)). </w:t>
      </w:r>
    </w:p>
    <w:p w:rsidR="00FD2F9C" w:rsidRPr="001D54FF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1D54FF">
        <w:rPr>
          <w:color w:val="auto"/>
          <w:sz w:val="24"/>
          <w:szCs w:val="24"/>
        </w:rPr>
        <w:t xml:space="preserve">Основные инвестиционные проекты 2024 года: </w:t>
      </w:r>
    </w:p>
    <w:p w:rsidR="00FD2F9C" w:rsidRPr="001B39E5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1B39E5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2021 -2026 гг.);</w:t>
      </w:r>
    </w:p>
    <w:p w:rsidR="00FD2F9C" w:rsidRPr="00BB3F2B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BB3F2B"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 w:rsidRPr="00BB3F2B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BB3F2B">
        <w:rPr>
          <w:color w:val="auto"/>
          <w:sz w:val="24"/>
          <w:szCs w:val="24"/>
        </w:rPr>
        <w:t xml:space="preserve"> </w:t>
      </w:r>
      <w:proofErr w:type="spellStart"/>
      <w:r w:rsidRPr="00BB3F2B">
        <w:rPr>
          <w:color w:val="auto"/>
          <w:sz w:val="24"/>
          <w:szCs w:val="24"/>
        </w:rPr>
        <w:t>Пазских</w:t>
      </w:r>
      <w:proofErr w:type="spellEnd"/>
      <w:r w:rsidRPr="00BB3F2B">
        <w:rPr>
          <w:color w:val="auto"/>
          <w:sz w:val="24"/>
          <w:szCs w:val="24"/>
        </w:rPr>
        <w:t xml:space="preserve"> ГЭС (период реализации 2024-2027 гг.);</w:t>
      </w:r>
    </w:p>
    <w:p w:rsidR="00FD2F9C" w:rsidRPr="009D46CA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9D46CA">
        <w:rPr>
          <w:color w:val="auto"/>
          <w:sz w:val="24"/>
          <w:szCs w:val="24"/>
        </w:rPr>
        <w:t xml:space="preserve">- реализация инвестиционного проекта «Оборудование многоквартирных жилых домов интеллектуальной системой учета» в рамках инвестиционной программы на 2023-2025 </w:t>
      </w:r>
      <w:proofErr w:type="spellStart"/>
      <w:proofErr w:type="gramStart"/>
      <w:r w:rsidRPr="009D46CA">
        <w:rPr>
          <w:color w:val="auto"/>
          <w:sz w:val="24"/>
          <w:szCs w:val="24"/>
        </w:rPr>
        <w:t>гг</w:t>
      </w:r>
      <w:proofErr w:type="spellEnd"/>
      <w:proofErr w:type="gramEnd"/>
      <w:r w:rsidRPr="009D46CA">
        <w:rPr>
          <w:color w:val="auto"/>
          <w:sz w:val="24"/>
          <w:szCs w:val="24"/>
        </w:rPr>
        <w:t xml:space="preserve"> АО «</w:t>
      </w:r>
      <w:proofErr w:type="spellStart"/>
      <w:r w:rsidRPr="009D46CA">
        <w:rPr>
          <w:color w:val="auto"/>
          <w:sz w:val="24"/>
          <w:szCs w:val="24"/>
        </w:rPr>
        <w:t>АтомЭнергоСбыт</w:t>
      </w:r>
      <w:proofErr w:type="spellEnd"/>
      <w:r w:rsidRPr="009D46CA">
        <w:rPr>
          <w:color w:val="auto"/>
          <w:sz w:val="24"/>
          <w:szCs w:val="24"/>
        </w:rPr>
        <w:t>»;</w:t>
      </w:r>
    </w:p>
    <w:p w:rsidR="00FD2F9C" w:rsidRPr="00AD3FD7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FF0000"/>
          <w:sz w:val="24"/>
          <w:szCs w:val="24"/>
        </w:rPr>
      </w:pPr>
      <w:r w:rsidRPr="00894C7E">
        <w:rPr>
          <w:color w:val="auto"/>
          <w:sz w:val="24"/>
          <w:szCs w:val="24"/>
        </w:rPr>
        <w:t xml:space="preserve">- инвестиционные проекты, реализуемые АО «Кольская ГМК», на территории </w:t>
      </w:r>
      <w:proofErr w:type="spellStart"/>
      <w:r w:rsidRPr="00894C7E">
        <w:rPr>
          <w:color w:val="auto"/>
          <w:sz w:val="24"/>
          <w:szCs w:val="24"/>
        </w:rPr>
        <w:t>Печенгского</w:t>
      </w:r>
      <w:proofErr w:type="spellEnd"/>
      <w:r w:rsidRPr="00894C7E">
        <w:rPr>
          <w:color w:val="auto"/>
          <w:sz w:val="24"/>
          <w:szCs w:val="24"/>
        </w:rPr>
        <w:t xml:space="preserve"> муниципального округа (период реализации 2023-2027 гг.) (Вскрытие и отработка запасов руды до гор.-730 м рудника «Северный – Глубокий» - проходка горных выработок, работы по оснащению пройденных горных выработок, а также </w:t>
      </w:r>
      <w:proofErr w:type="spellStart"/>
      <w:r w:rsidRPr="00894C7E">
        <w:rPr>
          <w:color w:val="auto"/>
          <w:sz w:val="24"/>
          <w:szCs w:val="24"/>
        </w:rPr>
        <w:t>углубка</w:t>
      </w:r>
      <w:proofErr w:type="spellEnd"/>
      <w:r w:rsidRPr="00894C7E">
        <w:rPr>
          <w:color w:val="auto"/>
          <w:sz w:val="24"/>
          <w:szCs w:val="24"/>
        </w:rPr>
        <w:t xml:space="preserve"> ЦВС; </w:t>
      </w:r>
      <w:proofErr w:type="gramStart"/>
      <w:r w:rsidRPr="00894C7E">
        <w:rPr>
          <w:color w:val="auto"/>
          <w:sz w:val="24"/>
          <w:szCs w:val="24"/>
        </w:rPr>
        <w:t>Вскрытие и отработка запасов руды до гор.-440 м рудника «Северный – Глубокий» - строительство транспортной выработки Восточного участка гор.-440 м, строительство комплекса выработок разгрузки автосамосвалов и погрузочных камер Восточного участка откаточного горизонта -440 м; Реконструкция станции очистки шахтных вод рудника «Северный»);</w:t>
      </w:r>
      <w:proofErr w:type="gramEnd"/>
    </w:p>
    <w:p w:rsidR="00FD2F9C" w:rsidRPr="002900C7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2900C7"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 w:rsidRPr="002900C7">
        <w:rPr>
          <w:color w:val="auto"/>
          <w:sz w:val="24"/>
          <w:szCs w:val="24"/>
        </w:rPr>
        <w:t>смолтовый</w:t>
      </w:r>
      <w:proofErr w:type="spellEnd"/>
      <w:r w:rsidRPr="002900C7">
        <w:rPr>
          <w:color w:val="auto"/>
          <w:sz w:val="24"/>
          <w:szCs w:val="24"/>
        </w:rPr>
        <w:t xml:space="preserve">) завод по выращиванию посадочного материала атлантического лосося и форели в </w:t>
      </w:r>
      <w:proofErr w:type="spellStart"/>
      <w:r w:rsidRPr="002900C7">
        <w:rPr>
          <w:color w:val="auto"/>
          <w:sz w:val="24"/>
          <w:szCs w:val="24"/>
        </w:rPr>
        <w:t>Печенгском</w:t>
      </w:r>
      <w:proofErr w:type="spellEnd"/>
      <w:r w:rsidRPr="002900C7">
        <w:rPr>
          <w:color w:val="auto"/>
          <w:sz w:val="24"/>
          <w:szCs w:val="24"/>
        </w:rPr>
        <w:t xml:space="preserve"> районе Мурманской области (период реализации 2021-2025 гг.);</w:t>
      </w:r>
    </w:p>
    <w:p w:rsidR="00FD2F9C" w:rsidRPr="00506E99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506E99">
        <w:rPr>
          <w:color w:val="auto"/>
          <w:sz w:val="24"/>
          <w:szCs w:val="24"/>
        </w:rPr>
        <w:t xml:space="preserve">- комплекс объектов </w:t>
      </w:r>
      <w:proofErr w:type="spellStart"/>
      <w:r w:rsidRPr="00506E99">
        <w:rPr>
          <w:color w:val="auto"/>
          <w:sz w:val="24"/>
          <w:szCs w:val="24"/>
        </w:rPr>
        <w:t>марикультуры</w:t>
      </w:r>
      <w:proofErr w:type="spellEnd"/>
      <w:r w:rsidRPr="00506E99"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FD2F9C" w:rsidRPr="00270C0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270C0C">
        <w:rPr>
          <w:color w:val="auto"/>
          <w:sz w:val="24"/>
          <w:szCs w:val="24"/>
        </w:rPr>
        <w:lastRenderedPageBreak/>
        <w:t xml:space="preserve">- строительство административного здания базы отдыха «Гольфстрим» (срок реализации 2021-2024 гг.); </w:t>
      </w:r>
    </w:p>
    <w:p w:rsidR="00FD2F9C" w:rsidRPr="00384362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84362"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</w:t>
      </w:r>
      <w:r>
        <w:rPr>
          <w:color w:val="auto"/>
          <w:sz w:val="24"/>
          <w:szCs w:val="24"/>
        </w:rPr>
        <w:t xml:space="preserve">предполагаемый </w:t>
      </w:r>
      <w:r w:rsidRPr="00384362">
        <w:rPr>
          <w:color w:val="auto"/>
          <w:sz w:val="24"/>
          <w:szCs w:val="24"/>
        </w:rPr>
        <w:t>срок реализации 2021-2025 гг.);</w:t>
      </w:r>
    </w:p>
    <w:p w:rsidR="00FD2F9C" w:rsidRPr="00270C0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70C0C">
        <w:rPr>
          <w:color w:val="auto"/>
          <w:sz w:val="24"/>
          <w:szCs w:val="24"/>
        </w:rPr>
        <w:t xml:space="preserve">- строительство туристического комплекса в </w:t>
      </w:r>
      <w:proofErr w:type="spellStart"/>
      <w:r w:rsidRPr="00270C0C">
        <w:rPr>
          <w:color w:val="auto"/>
          <w:sz w:val="24"/>
          <w:szCs w:val="24"/>
        </w:rPr>
        <w:t>Печенгском</w:t>
      </w:r>
      <w:proofErr w:type="spellEnd"/>
      <w:r w:rsidRPr="00270C0C">
        <w:rPr>
          <w:color w:val="auto"/>
          <w:sz w:val="24"/>
          <w:szCs w:val="24"/>
        </w:rPr>
        <w:t xml:space="preserve"> округе (срок реализации 2022-2026 гг.);</w:t>
      </w:r>
    </w:p>
    <w:p w:rsidR="00FD2F9C" w:rsidRPr="00506E99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506E99"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FD2F9C" w:rsidRPr="00384362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384362">
        <w:rPr>
          <w:color w:val="auto"/>
          <w:sz w:val="24"/>
          <w:szCs w:val="24"/>
        </w:rPr>
        <w:t>- туристический кластер «</w:t>
      </w:r>
      <w:proofErr w:type="spellStart"/>
      <w:r w:rsidRPr="00384362">
        <w:rPr>
          <w:color w:val="auto"/>
          <w:sz w:val="24"/>
          <w:szCs w:val="24"/>
        </w:rPr>
        <w:t>Валла-Тунтури</w:t>
      </w:r>
      <w:proofErr w:type="spellEnd"/>
      <w:r w:rsidRPr="00384362">
        <w:rPr>
          <w:color w:val="auto"/>
          <w:sz w:val="24"/>
          <w:szCs w:val="24"/>
        </w:rPr>
        <w:t>» (срок реализации 2021-2026 гг.);</w:t>
      </w:r>
    </w:p>
    <w:p w:rsidR="00FD2F9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9D46CA">
        <w:rPr>
          <w:color w:val="auto"/>
          <w:sz w:val="24"/>
          <w:szCs w:val="24"/>
        </w:rPr>
        <w:t xml:space="preserve">- строительство </w:t>
      </w:r>
      <w:proofErr w:type="spellStart"/>
      <w:r w:rsidRPr="009D46CA">
        <w:rPr>
          <w:color w:val="auto"/>
          <w:sz w:val="24"/>
          <w:szCs w:val="24"/>
        </w:rPr>
        <w:t>глэмпинга</w:t>
      </w:r>
      <w:proofErr w:type="spellEnd"/>
      <w:r w:rsidRPr="009D46CA">
        <w:rPr>
          <w:color w:val="auto"/>
          <w:sz w:val="24"/>
          <w:szCs w:val="24"/>
        </w:rPr>
        <w:t xml:space="preserve"> и кафе на берегу озера </w:t>
      </w:r>
      <w:proofErr w:type="spellStart"/>
      <w:r w:rsidRPr="009D46CA">
        <w:rPr>
          <w:color w:val="auto"/>
          <w:sz w:val="24"/>
          <w:szCs w:val="24"/>
        </w:rPr>
        <w:t>Куэтсъярви</w:t>
      </w:r>
      <w:proofErr w:type="spellEnd"/>
      <w:r w:rsidRPr="009D46CA">
        <w:rPr>
          <w:color w:val="auto"/>
          <w:sz w:val="24"/>
          <w:szCs w:val="24"/>
        </w:rPr>
        <w:t xml:space="preserve"> (срок реализации 2021-2025 гг.);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486A5D">
        <w:rPr>
          <w:color w:val="auto"/>
          <w:sz w:val="24"/>
          <w:szCs w:val="24"/>
        </w:rPr>
        <w:t xml:space="preserve">выполнение работ по капитальному ремонту мостовых </w:t>
      </w:r>
      <w:proofErr w:type="gramStart"/>
      <w:r w:rsidRPr="00486A5D">
        <w:rPr>
          <w:color w:val="auto"/>
          <w:sz w:val="24"/>
          <w:szCs w:val="24"/>
        </w:rPr>
        <w:t>сооружений</w:t>
      </w:r>
      <w:proofErr w:type="gramEnd"/>
      <w:r w:rsidRPr="00486A5D">
        <w:rPr>
          <w:color w:val="auto"/>
          <w:sz w:val="24"/>
          <w:szCs w:val="24"/>
        </w:rPr>
        <w:t xml:space="preserve"> а </w:t>
      </w:r>
      <w:proofErr w:type="spellStart"/>
      <w:r w:rsidRPr="00486A5D">
        <w:rPr>
          <w:color w:val="auto"/>
          <w:sz w:val="24"/>
          <w:szCs w:val="24"/>
        </w:rPr>
        <w:t>пгт</w:t>
      </w:r>
      <w:proofErr w:type="spellEnd"/>
      <w:r w:rsidRPr="00486A5D">
        <w:rPr>
          <w:color w:val="auto"/>
          <w:sz w:val="24"/>
          <w:szCs w:val="24"/>
        </w:rPr>
        <w:t>. Никель (</w:t>
      </w:r>
      <w:proofErr w:type="spellStart"/>
      <w:r w:rsidRPr="00486A5D">
        <w:rPr>
          <w:color w:val="auto"/>
          <w:sz w:val="24"/>
          <w:szCs w:val="24"/>
        </w:rPr>
        <w:t>р</w:t>
      </w:r>
      <w:proofErr w:type="gramStart"/>
      <w:r w:rsidRPr="00486A5D">
        <w:rPr>
          <w:color w:val="auto"/>
          <w:sz w:val="24"/>
          <w:szCs w:val="24"/>
        </w:rPr>
        <w:t>.К</w:t>
      </w:r>
      <w:proofErr w:type="gramEnd"/>
      <w:r w:rsidRPr="00486A5D">
        <w:rPr>
          <w:color w:val="auto"/>
          <w:sz w:val="24"/>
          <w:szCs w:val="24"/>
        </w:rPr>
        <w:t>олосйоки</w:t>
      </w:r>
      <w:proofErr w:type="spellEnd"/>
      <w:r w:rsidRPr="00486A5D">
        <w:rPr>
          <w:color w:val="auto"/>
          <w:sz w:val="24"/>
          <w:szCs w:val="24"/>
        </w:rPr>
        <w:t xml:space="preserve">) и г. Заполярный (р. </w:t>
      </w:r>
      <w:proofErr w:type="spellStart"/>
      <w:r w:rsidRPr="00486A5D">
        <w:rPr>
          <w:color w:val="auto"/>
          <w:sz w:val="24"/>
          <w:szCs w:val="24"/>
        </w:rPr>
        <w:t>Хауки-лампи-йоки</w:t>
      </w:r>
      <w:proofErr w:type="spellEnd"/>
      <w:r w:rsidRPr="00486A5D">
        <w:rPr>
          <w:color w:val="auto"/>
          <w:sz w:val="24"/>
          <w:szCs w:val="24"/>
        </w:rPr>
        <w:t xml:space="preserve">) (срок реализации </w:t>
      </w:r>
      <w:r>
        <w:rPr>
          <w:color w:val="auto"/>
          <w:sz w:val="24"/>
          <w:szCs w:val="24"/>
        </w:rPr>
        <w:t>2023-</w:t>
      </w:r>
      <w:r w:rsidRPr="00486A5D">
        <w:rPr>
          <w:color w:val="auto"/>
          <w:sz w:val="24"/>
          <w:szCs w:val="24"/>
        </w:rPr>
        <w:t xml:space="preserve">2024 </w:t>
      </w:r>
      <w:r>
        <w:rPr>
          <w:color w:val="auto"/>
          <w:sz w:val="24"/>
          <w:szCs w:val="24"/>
        </w:rPr>
        <w:t>г</w:t>
      </w:r>
      <w:r w:rsidRPr="00486A5D">
        <w:rPr>
          <w:color w:val="auto"/>
          <w:sz w:val="24"/>
          <w:szCs w:val="24"/>
        </w:rPr>
        <w:t>г.);</w:t>
      </w:r>
    </w:p>
    <w:p w:rsidR="00FD2F9C" w:rsidRPr="0037146D" w:rsidRDefault="00FD2F9C" w:rsidP="00FD2F9C">
      <w:pPr>
        <w:pStyle w:val="a3"/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7146D">
        <w:rPr>
          <w:color w:val="auto"/>
          <w:sz w:val="24"/>
          <w:szCs w:val="24"/>
        </w:rPr>
        <w:t xml:space="preserve">строительство </w:t>
      </w:r>
      <w:proofErr w:type="gramStart"/>
      <w:r w:rsidRPr="0037146D">
        <w:rPr>
          <w:color w:val="auto"/>
          <w:sz w:val="24"/>
          <w:szCs w:val="24"/>
        </w:rPr>
        <w:t>модульного</w:t>
      </w:r>
      <w:proofErr w:type="gramEnd"/>
      <w:r w:rsidRPr="0037146D">
        <w:rPr>
          <w:color w:val="auto"/>
          <w:sz w:val="24"/>
          <w:szCs w:val="24"/>
        </w:rPr>
        <w:t xml:space="preserve"> ФАП в </w:t>
      </w:r>
      <w:proofErr w:type="spellStart"/>
      <w:r w:rsidRPr="0037146D">
        <w:rPr>
          <w:color w:val="auto"/>
          <w:sz w:val="24"/>
          <w:szCs w:val="24"/>
        </w:rPr>
        <w:t>нп</w:t>
      </w:r>
      <w:proofErr w:type="spellEnd"/>
      <w:r w:rsidRPr="0037146D">
        <w:rPr>
          <w:color w:val="auto"/>
          <w:sz w:val="24"/>
          <w:szCs w:val="24"/>
        </w:rPr>
        <w:t xml:space="preserve">. </w:t>
      </w:r>
      <w:proofErr w:type="spellStart"/>
      <w:r w:rsidRPr="0037146D">
        <w:rPr>
          <w:color w:val="auto"/>
          <w:sz w:val="24"/>
          <w:szCs w:val="24"/>
        </w:rPr>
        <w:t>Корзуново</w:t>
      </w:r>
      <w:proofErr w:type="spellEnd"/>
      <w:r w:rsidRPr="0037146D">
        <w:rPr>
          <w:color w:val="auto"/>
          <w:sz w:val="24"/>
          <w:szCs w:val="24"/>
        </w:rPr>
        <w:t>;</w:t>
      </w:r>
    </w:p>
    <w:p w:rsidR="00FD2F9C" w:rsidRPr="0037146D" w:rsidRDefault="00FD2F9C" w:rsidP="00FD2F9C">
      <w:pPr>
        <w:pStyle w:val="a3"/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</w:t>
      </w:r>
      <w:proofErr w:type="gramStart"/>
      <w:r w:rsidRPr="0037146D">
        <w:rPr>
          <w:color w:val="auto"/>
          <w:sz w:val="24"/>
          <w:szCs w:val="24"/>
        </w:rPr>
        <w:t>модульного</w:t>
      </w:r>
      <w:proofErr w:type="gramEnd"/>
      <w:r w:rsidRPr="0037146D">
        <w:rPr>
          <w:color w:val="auto"/>
          <w:sz w:val="24"/>
          <w:szCs w:val="24"/>
        </w:rPr>
        <w:t xml:space="preserve"> ФАП в </w:t>
      </w:r>
      <w:proofErr w:type="spellStart"/>
      <w:r w:rsidRPr="0037146D">
        <w:rPr>
          <w:color w:val="auto"/>
          <w:sz w:val="24"/>
          <w:szCs w:val="24"/>
        </w:rPr>
        <w:t>нп</w:t>
      </w:r>
      <w:proofErr w:type="spellEnd"/>
      <w:r w:rsidRPr="0037146D">
        <w:rPr>
          <w:color w:val="auto"/>
          <w:sz w:val="24"/>
          <w:szCs w:val="24"/>
        </w:rPr>
        <w:t xml:space="preserve">. </w:t>
      </w:r>
      <w:proofErr w:type="spellStart"/>
      <w:r w:rsidRPr="0037146D">
        <w:rPr>
          <w:color w:val="auto"/>
          <w:sz w:val="24"/>
          <w:szCs w:val="24"/>
        </w:rPr>
        <w:t>Лиинахамари</w:t>
      </w:r>
      <w:proofErr w:type="spellEnd"/>
      <w:r w:rsidRPr="0037146D">
        <w:rPr>
          <w:color w:val="auto"/>
          <w:sz w:val="24"/>
          <w:szCs w:val="24"/>
        </w:rPr>
        <w:t>;</w:t>
      </w:r>
    </w:p>
    <w:p w:rsidR="00FD2F9C" w:rsidRPr="0037146D" w:rsidRDefault="00FD2F9C" w:rsidP="00FD2F9C">
      <w:pPr>
        <w:pStyle w:val="a3"/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модульной амбулатории в </w:t>
      </w:r>
      <w:proofErr w:type="spellStart"/>
      <w:r w:rsidRPr="0037146D">
        <w:rPr>
          <w:color w:val="auto"/>
          <w:sz w:val="24"/>
          <w:szCs w:val="24"/>
        </w:rPr>
        <w:t>пгт</w:t>
      </w:r>
      <w:proofErr w:type="spellEnd"/>
      <w:r w:rsidRPr="0037146D">
        <w:rPr>
          <w:color w:val="auto"/>
          <w:sz w:val="24"/>
          <w:szCs w:val="24"/>
        </w:rPr>
        <w:t>. Печенга;</w:t>
      </w:r>
    </w:p>
    <w:p w:rsidR="00FD2F9C" w:rsidRPr="0037146D" w:rsidRDefault="00FD2F9C" w:rsidP="00FD2F9C">
      <w:pPr>
        <w:pStyle w:val="a3"/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color w:val="auto"/>
          <w:sz w:val="24"/>
          <w:szCs w:val="24"/>
        </w:rPr>
      </w:pPr>
      <w:r w:rsidRPr="0037146D">
        <w:rPr>
          <w:color w:val="auto"/>
          <w:sz w:val="24"/>
          <w:szCs w:val="24"/>
        </w:rPr>
        <w:t xml:space="preserve">- строительство </w:t>
      </w:r>
      <w:proofErr w:type="gramStart"/>
      <w:r w:rsidRPr="0037146D">
        <w:rPr>
          <w:color w:val="auto"/>
          <w:sz w:val="24"/>
          <w:szCs w:val="24"/>
        </w:rPr>
        <w:t>модульного</w:t>
      </w:r>
      <w:proofErr w:type="gramEnd"/>
      <w:r w:rsidRPr="0037146D">
        <w:rPr>
          <w:color w:val="auto"/>
          <w:sz w:val="24"/>
          <w:szCs w:val="24"/>
        </w:rPr>
        <w:t xml:space="preserve"> ФАП в </w:t>
      </w:r>
      <w:proofErr w:type="spellStart"/>
      <w:r w:rsidRPr="0037146D">
        <w:rPr>
          <w:color w:val="auto"/>
          <w:sz w:val="24"/>
          <w:szCs w:val="24"/>
        </w:rPr>
        <w:t>нп</w:t>
      </w:r>
      <w:proofErr w:type="spellEnd"/>
      <w:r w:rsidRPr="0037146D">
        <w:rPr>
          <w:color w:val="auto"/>
          <w:sz w:val="24"/>
          <w:szCs w:val="24"/>
        </w:rPr>
        <w:t>. Спутник;</w:t>
      </w:r>
    </w:p>
    <w:p w:rsidR="00FD2F9C" w:rsidRPr="00E310B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E310BD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E310BD">
        <w:rPr>
          <w:color w:val="auto"/>
          <w:sz w:val="24"/>
          <w:szCs w:val="24"/>
        </w:rPr>
        <w:t>пгт</w:t>
      </w:r>
      <w:proofErr w:type="spellEnd"/>
      <w:r w:rsidRPr="00E310BD">
        <w:rPr>
          <w:color w:val="auto"/>
          <w:sz w:val="24"/>
          <w:szCs w:val="24"/>
        </w:rPr>
        <w:t>. Никель (</w:t>
      </w:r>
      <w:r>
        <w:rPr>
          <w:color w:val="auto"/>
          <w:sz w:val="24"/>
          <w:szCs w:val="24"/>
        </w:rPr>
        <w:t>срок</w:t>
      </w:r>
      <w:r w:rsidRPr="00E310BD">
        <w:rPr>
          <w:color w:val="auto"/>
          <w:sz w:val="24"/>
          <w:szCs w:val="24"/>
        </w:rPr>
        <w:t xml:space="preserve"> реализации 202</w:t>
      </w:r>
      <w:r>
        <w:rPr>
          <w:color w:val="auto"/>
          <w:sz w:val="24"/>
          <w:szCs w:val="24"/>
        </w:rPr>
        <w:t>1-2025</w:t>
      </w:r>
      <w:r w:rsidRPr="00E310B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г</w:t>
      </w:r>
      <w:r w:rsidRPr="00E310BD">
        <w:rPr>
          <w:color w:val="auto"/>
          <w:sz w:val="24"/>
          <w:szCs w:val="24"/>
        </w:rPr>
        <w:t>г.);</w:t>
      </w:r>
    </w:p>
    <w:p w:rsidR="00FD2F9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E310BD">
        <w:rPr>
          <w:color w:val="auto"/>
          <w:sz w:val="24"/>
          <w:szCs w:val="24"/>
        </w:rPr>
        <w:t xml:space="preserve">- окончание </w:t>
      </w:r>
      <w:r w:rsidRPr="00E310BD">
        <w:rPr>
          <w:rFonts w:eastAsiaTheme="minorHAnsi"/>
          <w:bCs/>
          <w:color w:val="auto"/>
          <w:sz w:val="24"/>
          <w:szCs w:val="24"/>
          <w:lang w:eastAsia="en-US"/>
        </w:rPr>
        <w:t xml:space="preserve">строительства нового кладбища в МГОП Никель в районе                                          3 км автодороги </w:t>
      </w:r>
      <w:proofErr w:type="gramStart"/>
      <w:r w:rsidRPr="00E310BD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E310B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E310BD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E310BD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FD2F9C" w:rsidRPr="00E310B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>-</w:t>
      </w:r>
      <w:r w:rsidRPr="007C4B93">
        <w:rPr>
          <w:rFonts w:eastAsiaTheme="minorHAnsi"/>
          <w:bCs/>
          <w:color w:val="FF0000"/>
          <w:sz w:val="24"/>
          <w:szCs w:val="24"/>
          <w:lang w:eastAsia="en-US"/>
        </w:rPr>
        <w:t xml:space="preserve"> </w:t>
      </w:r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«Тропа здоровья» в </w:t>
      </w:r>
      <w:proofErr w:type="spellStart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7C4B93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 xml:space="preserve">благоустройство Площади металлургов в </w:t>
      </w:r>
      <w:proofErr w:type="spellStart"/>
      <w:r w:rsidRPr="007C4B93">
        <w:rPr>
          <w:color w:val="auto"/>
          <w:sz w:val="24"/>
          <w:szCs w:val="24"/>
        </w:rPr>
        <w:t>пгт</w:t>
      </w:r>
      <w:proofErr w:type="spellEnd"/>
      <w:r w:rsidRPr="007C4B93">
        <w:rPr>
          <w:color w:val="auto"/>
          <w:sz w:val="24"/>
          <w:szCs w:val="24"/>
        </w:rPr>
        <w:t xml:space="preserve"> Никель;</w:t>
      </w:r>
    </w:p>
    <w:p w:rsidR="00FD2F9C" w:rsidRPr="002F0D6D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2F0D6D">
        <w:rPr>
          <w:color w:val="auto"/>
          <w:sz w:val="24"/>
          <w:szCs w:val="24"/>
        </w:rPr>
        <w:t>реконструкция котельных и тепловых сетей в рамках концессионного соглашения (срок реализации 2024-2025 гг.);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 xml:space="preserve">строительство начальной школы в </w:t>
      </w:r>
      <w:proofErr w:type="spellStart"/>
      <w:r w:rsidRPr="007C4B93">
        <w:rPr>
          <w:color w:val="auto"/>
          <w:sz w:val="24"/>
          <w:szCs w:val="24"/>
        </w:rPr>
        <w:t>пгт</w:t>
      </w:r>
      <w:proofErr w:type="spellEnd"/>
      <w:r w:rsidRPr="007C4B93">
        <w:rPr>
          <w:color w:val="auto"/>
          <w:sz w:val="24"/>
          <w:szCs w:val="24"/>
        </w:rPr>
        <w:t>. Печенга на 250 мест (срок реализации 2023-2024 гг.);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выполнение работ по капитальному ремонту фасада и входных групп МБОУ ООШ №22;</w:t>
      </w:r>
    </w:p>
    <w:p w:rsidR="00FD2F9C" w:rsidRPr="007C4B93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7C4B93">
        <w:rPr>
          <w:color w:val="auto"/>
          <w:sz w:val="24"/>
          <w:szCs w:val="24"/>
        </w:rPr>
        <w:t xml:space="preserve">завершение строительства недостроенного дома в г. </w:t>
      </w:r>
      <w:proofErr w:type="gramStart"/>
      <w:r w:rsidRPr="007C4B93">
        <w:rPr>
          <w:color w:val="auto"/>
          <w:sz w:val="24"/>
          <w:szCs w:val="24"/>
        </w:rPr>
        <w:t>Заполярный</w:t>
      </w:r>
      <w:proofErr w:type="gramEnd"/>
      <w:r w:rsidRPr="007C4B93">
        <w:rPr>
          <w:color w:val="auto"/>
          <w:sz w:val="24"/>
          <w:szCs w:val="24"/>
        </w:rPr>
        <w:t xml:space="preserve"> по ул. Ленинградская (2024-2025 гг.);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>организация молодежн</w:t>
      </w:r>
      <w:r>
        <w:rPr>
          <w:color w:val="auto"/>
          <w:sz w:val="24"/>
          <w:szCs w:val="24"/>
        </w:rPr>
        <w:t>ых</w:t>
      </w:r>
      <w:r w:rsidRPr="007C4B93">
        <w:rPr>
          <w:color w:val="auto"/>
          <w:sz w:val="24"/>
          <w:szCs w:val="24"/>
        </w:rPr>
        <w:t xml:space="preserve"> пространств «Сопки»</w:t>
      </w:r>
      <w:r>
        <w:rPr>
          <w:color w:val="auto"/>
          <w:sz w:val="24"/>
          <w:szCs w:val="24"/>
        </w:rPr>
        <w:t xml:space="preserve">, а также «Сопки. Семья» в </w:t>
      </w:r>
      <w:proofErr w:type="spellStart"/>
      <w:r>
        <w:rPr>
          <w:color w:val="auto"/>
          <w:sz w:val="24"/>
          <w:szCs w:val="24"/>
        </w:rPr>
        <w:t>Печенгском</w:t>
      </w:r>
      <w:proofErr w:type="spellEnd"/>
      <w:r>
        <w:rPr>
          <w:color w:val="auto"/>
          <w:sz w:val="24"/>
          <w:szCs w:val="24"/>
        </w:rPr>
        <w:t xml:space="preserve"> муниципальном округе</w:t>
      </w:r>
      <w:r w:rsidRPr="007C4B93">
        <w:rPr>
          <w:color w:val="auto"/>
          <w:sz w:val="24"/>
          <w:szCs w:val="24"/>
        </w:rPr>
        <w:t>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 xml:space="preserve">модернизация объекта «Крытый хоккейный корт» в </w:t>
      </w:r>
      <w:proofErr w:type="spellStart"/>
      <w:r w:rsidRPr="007C4B93">
        <w:rPr>
          <w:color w:val="auto"/>
          <w:sz w:val="24"/>
          <w:szCs w:val="24"/>
        </w:rPr>
        <w:t>г</w:t>
      </w:r>
      <w:proofErr w:type="gramStart"/>
      <w:r w:rsidRPr="007C4B93">
        <w:rPr>
          <w:color w:val="auto"/>
          <w:sz w:val="24"/>
          <w:szCs w:val="24"/>
        </w:rPr>
        <w:t>.З</w:t>
      </w:r>
      <w:proofErr w:type="gramEnd"/>
      <w:r w:rsidRPr="007C4B93">
        <w:rPr>
          <w:color w:val="auto"/>
          <w:sz w:val="24"/>
          <w:szCs w:val="24"/>
        </w:rPr>
        <w:t>аполярный</w:t>
      </w:r>
      <w:proofErr w:type="spellEnd"/>
      <w:r w:rsidRPr="007C4B93">
        <w:rPr>
          <w:color w:val="auto"/>
          <w:sz w:val="24"/>
          <w:szCs w:val="24"/>
        </w:rPr>
        <w:t xml:space="preserve"> (искусственный лед) (202</w:t>
      </w:r>
      <w:r>
        <w:rPr>
          <w:color w:val="auto"/>
          <w:sz w:val="24"/>
          <w:szCs w:val="24"/>
        </w:rPr>
        <w:t>3-2024 гг.</w:t>
      </w:r>
      <w:r w:rsidRPr="007C4B93">
        <w:rPr>
          <w:color w:val="auto"/>
          <w:sz w:val="24"/>
          <w:szCs w:val="24"/>
        </w:rPr>
        <w:t>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проектирование, строительство и ввод в эксплуатацию объекта капитального строительства «Детский сад на 350 мест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(срок реализации 2024-2026 гг.) * на сегодняшний день контракт не заключен;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строительство здания детского сада на 250 мест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Корзуново</w:t>
      </w:r>
      <w:proofErr w:type="spellEnd"/>
      <w:r>
        <w:rPr>
          <w:color w:val="auto"/>
          <w:sz w:val="24"/>
          <w:szCs w:val="24"/>
        </w:rPr>
        <w:t xml:space="preserve"> (срок реализации 2024-2026 гг.) * на сегодняшний день контракт не заключен;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капитальный ремонт кровли и утепление фасада МБУ «КДЦ «Платформа» (срок реализации 2024 г.)</w:t>
      </w:r>
    </w:p>
    <w:p w:rsidR="00FD2F9C" w:rsidRPr="00C41E07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C41E07"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</w:t>
      </w:r>
      <w:r w:rsidRPr="00C41E07">
        <w:rPr>
          <w:color w:val="auto"/>
          <w:sz w:val="24"/>
          <w:szCs w:val="24"/>
        </w:rPr>
        <w:lastRenderedPageBreak/>
        <w:t xml:space="preserve">кластер </w:t>
      </w:r>
      <w:proofErr w:type="spellStart"/>
      <w:r w:rsidRPr="00C41E07">
        <w:rPr>
          <w:color w:val="auto"/>
          <w:sz w:val="24"/>
          <w:szCs w:val="24"/>
        </w:rPr>
        <w:t>Печенгского</w:t>
      </w:r>
      <w:proofErr w:type="spellEnd"/>
      <w:r w:rsidRPr="00C41E07">
        <w:rPr>
          <w:color w:val="auto"/>
          <w:sz w:val="24"/>
          <w:szCs w:val="24"/>
        </w:rPr>
        <w:t xml:space="preserve"> муниципального округа – «Кольская сверхглубокая», «Плавильный цех», «Шахта </w:t>
      </w:r>
      <w:proofErr w:type="spellStart"/>
      <w:r w:rsidRPr="00C41E07">
        <w:rPr>
          <w:color w:val="auto"/>
          <w:sz w:val="24"/>
          <w:szCs w:val="24"/>
        </w:rPr>
        <w:t>Каул</w:t>
      </w:r>
      <w:r>
        <w:rPr>
          <w:color w:val="auto"/>
          <w:sz w:val="24"/>
          <w:szCs w:val="24"/>
        </w:rPr>
        <w:t>а-Котсельваара</w:t>
      </w:r>
      <w:proofErr w:type="spellEnd"/>
      <w:r>
        <w:rPr>
          <w:color w:val="auto"/>
          <w:sz w:val="24"/>
          <w:szCs w:val="24"/>
        </w:rPr>
        <w:t>» (2023-2024 гг.).</w:t>
      </w:r>
    </w:p>
    <w:p w:rsidR="00FD2F9C" w:rsidRPr="00DD07EB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DD07EB">
        <w:rPr>
          <w:bCs/>
          <w:color w:val="auto"/>
          <w:sz w:val="24"/>
          <w:szCs w:val="24"/>
        </w:rPr>
        <w:t>В 2024 году ожидаемый объем инвестиций в основной капитал</w:t>
      </w:r>
      <w:r w:rsidRPr="00DD07EB">
        <w:rPr>
          <w:color w:val="auto"/>
          <w:sz w:val="24"/>
          <w:szCs w:val="24"/>
        </w:rPr>
        <w:t xml:space="preserve"> за счет всех источников составит 14 013,1</w:t>
      </w:r>
      <w:r w:rsidRPr="00DD07EB">
        <w:rPr>
          <w:bCs/>
          <w:color w:val="auto"/>
          <w:sz w:val="24"/>
          <w:szCs w:val="24"/>
        </w:rPr>
        <w:t xml:space="preserve"> </w:t>
      </w:r>
      <w:r w:rsidRPr="00DD07EB">
        <w:rPr>
          <w:color w:val="auto"/>
          <w:sz w:val="24"/>
          <w:szCs w:val="24"/>
        </w:rPr>
        <w:t>млн. рублей или 184,4 %  к уровню 2023 года.</w:t>
      </w:r>
    </w:p>
    <w:p w:rsidR="00FD2F9C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DD07EB">
        <w:rPr>
          <w:color w:val="auto"/>
          <w:sz w:val="24"/>
          <w:szCs w:val="24"/>
        </w:rPr>
        <w:t>За счет</w:t>
      </w:r>
      <w:r w:rsidRPr="00DD07EB">
        <w:rPr>
          <w:bCs/>
          <w:color w:val="auto"/>
          <w:sz w:val="24"/>
          <w:szCs w:val="24"/>
        </w:rPr>
        <w:t xml:space="preserve"> собственных сре</w:t>
      </w:r>
      <w:proofErr w:type="gramStart"/>
      <w:r w:rsidRPr="00DD07EB">
        <w:rPr>
          <w:bCs/>
          <w:color w:val="auto"/>
          <w:sz w:val="24"/>
          <w:szCs w:val="24"/>
        </w:rPr>
        <w:t>дств пр</w:t>
      </w:r>
      <w:proofErr w:type="gramEnd"/>
      <w:r w:rsidRPr="00DD07EB">
        <w:rPr>
          <w:bCs/>
          <w:color w:val="auto"/>
          <w:sz w:val="24"/>
          <w:szCs w:val="24"/>
        </w:rPr>
        <w:t>едприятий и организаций</w:t>
      </w:r>
      <w:r w:rsidRPr="00DD07EB">
        <w:rPr>
          <w:color w:val="auto"/>
          <w:sz w:val="24"/>
          <w:szCs w:val="24"/>
        </w:rPr>
        <w:t xml:space="preserve"> предполагается освоить 13 608,5 млн. рублей, что составит 97,1 % от общего объема инвестиций. Доля </w:t>
      </w:r>
      <w:r w:rsidRPr="00DD07EB">
        <w:rPr>
          <w:bCs/>
          <w:color w:val="auto"/>
          <w:sz w:val="24"/>
          <w:szCs w:val="24"/>
        </w:rPr>
        <w:t>бюджетных средств</w:t>
      </w:r>
      <w:r w:rsidRPr="00DD07EB">
        <w:rPr>
          <w:color w:val="auto"/>
          <w:sz w:val="24"/>
          <w:szCs w:val="24"/>
        </w:rPr>
        <w:t xml:space="preserve"> в общем объеме инвестиций составит 2,3 %, или 318,1 млн. руб</w:t>
      </w:r>
      <w:r>
        <w:rPr>
          <w:color w:val="auto"/>
          <w:sz w:val="24"/>
          <w:szCs w:val="24"/>
        </w:rPr>
        <w:t>лей</w:t>
      </w:r>
      <w:r w:rsidRPr="00DD07EB">
        <w:rPr>
          <w:color w:val="auto"/>
          <w:sz w:val="24"/>
          <w:szCs w:val="24"/>
        </w:rPr>
        <w:t>.</w:t>
      </w:r>
    </w:p>
    <w:p w:rsidR="00FD2F9C" w:rsidRDefault="00FD2F9C" w:rsidP="00FD2F9C">
      <w:pPr>
        <w:pStyle w:val="af9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696F39">
        <w:rPr>
          <w:sz w:val="26"/>
          <w:szCs w:val="26"/>
        </w:rPr>
        <w:t>Приказом Минэкономразвития России от 26.06.2023 № 672 утверждены Методически</w:t>
      </w:r>
      <w:r>
        <w:rPr>
          <w:sz w:val="26"/>
          <w:szCs w:val="26"/>
        </w:rPr>
        <w:t>е</w:t>
      </w:r>
      <w:r w:rsidRPr="00696F39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>и</w:t>
      </w:r>
      <w:r w:rsidRPr="00696F39">
        <w:rPr>
          <w:sz w:val="26"/>
          <w:szCs w:val="26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>
        <w:rPr>
          <w:sz w:val="26"/>
          <w:szCs w:val="26"/>
        </w:rPr>
        <w:t>«</w:t>
      </w:r>
      <w:r w:rsidRPr="00696F39">
        <w:rPr>
          <w:sz w:val="26"/>
          <w:szCs w:val="26"/>
        </w:rPr>
        <w:t>Региональн</w:t>
      </w:r>
      <w:r>
        <w:rPr>
          <w:sz w:val="26"/>
          <w:szCs w:val="26"/>
        </w:rPr>
        <w:t>ый инвестиционный стандарт»</w:t>
      </w:r>
      <w:r w:rsidRPr="00696F39">
        <w:rPr>
          <w:sz w:val="26"/>
          <w:szCs w:val="26"/>
        </w:rPr>
        <w:t>)</w:t>
      </w:r>
      <w:r>
        <w:rPr>
          <w:sz w:val="26"/>
          <w:szCs w:val="26"/>
        </w:rPr>
        <w:t xml:space="preserve"> (далее – Методические рекомендации). В пункте 11 Методических рекомендаций перечислены рекомендуемые положения для документа стратегического планирования.</w:t>
      </w:r>
    </w:p>
    <w:p w:rsidR="00FD2F9C" w:rsidRDefault="00FD2F9C" w:rsidP="00FD2F9C">
      <w:pPr>
        <w:pStyle w:val="af9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Печенгском</w:t>
      </w:r>
      <w:proofErr w:type="spellEnd"/>
      <w:r>
        <w:rPr>
          <w:sz w:val="26"/>
          <w:szCs w:val="26"/>
        </w:rPr>
        <w:t xml:space="preserve"> муниципальном округе в настоящее время осуществляется работа по постепенному внедрению Регионального стандарта, с учетом Методических рекомендаций. Завершение указанной работы планируется к концу 2024 года.</w:t>
      </w:r>
    </w:p>
    <w:p w:rsidR="00FD2F9C" w:rsidRPr="00AD3FD7" w:rsidRDefault="00FD2F9C" w:rsidP="00FD2F9C">
      <w:pPr>
        <w:ind w:firstLine="709"/>
        <w:jc w:val="both"/>
        <w:rPr>
          <w:color w:val="FF0000"/>
          <w:sz w:val="24"/>
          <w:szCs w:val="24"/>
          <w:highlight w:val="yellow"/>
        </w:rPr>
      </w:pPr>
      <w:bookmarkStart w:id="11" w:name="_Toc106522158"/>
      <w:bookmarkStart w:id="12" w:name="_Toc106522208"/>
      <w:bookmarkStart w:id="13" w:name="_Toc106522353"/>
      <w:bookmarkStart w:id="14" w:name="_Toc106522954"/>
      <w:bookmarkStart w:id="15" w:name="_Toc106526620"/>
    </w:p>
    <w:p w:rsidR="00FD2F9C" w:rsidRPr="00556745" w:rsidRDefault="00FD2F9C" w:rsidP="00FD2F9C">
      <w:pPr>
        <w:ind w:firstLine="709"/>
        <w:jc w:val="center"/>
        <w:rPr>
          <w:b/>
          <w:color w:val="auto"/>
          <w:sz w:val="24"/>
          <w:szCs w:val="24"/>
        </w:rPr>
      </w:pPr>
      <w:r w:rsidRPr="00556745">
        <w:rPr>
          <w:b/>
          <w:color w:val="auto"/>
          <w:sz w:val="24"/>
          <w:szCs w:val="24"/>
        </w:rPr>
        <w:t>6. Сальдированный финансовый результат (прибыль, убыток) деятельности крупных и средних предприятий</w:t>
      </w:r>
    </w:p>
    <w:p w:rsidR="00FD2F9C" w:rsidRPr="00AD3FD7" w:rsidRDefault="00FD2F9C" w:rsidP="00FD2F9C">
      <w:pPr>
        <w:ind w:firstLine="709"/>
        <w:jc w:val="center"/>
        <w:rPr>
          <w:b/>
          <w:color w:val="FF0000"/>
          <w:sz w:val="24"/>
          <w:szCs w:val="24"/>
        </w:rPr>
      </w:pPr>
    </w:p>
    <w:p w:rsidR="00FD2F9C" w:rsidRPr="009F5072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4943B4">
        <w:rPr>
          <w:color w:val="auto"/>
          <w:sz w:val="24"/>
          <w:szCs w:val="24"/>
        </w:rPr>
        <w:t xml:space="preserve">В январе-июне 2024 года наблюдается </w:t>
      </w:r>
      <w:r w:rsidRPr="009F5072">
        <w:rPr>
          <w:color w:val="auto"/>
          <w:sz w:val="24"/>
          <w:szCs w:val="24"/>
        </w:rPr>
        <w:t xml:space="preserve">снижение сальдированного финансового результата деятельности организаций до – 1 968,4 млн. рублей (2 314,6 млн. рублей в январе-июне 2023 года). </w:t>
      </w:r>
    </w:p>
    <w:p w:rsidR="00FD2F9C" w:rsidRPr="00B1778B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B1778B">
        <w:rPr>
          <w:color w:val="auto"/>
          <w:sz w:val="24"/>
          <w:szCs w:val="24"/>
        </w:rPr>
        <w:t xml:space="preserve">Дебиторская задолженность организаций </w:t>
      </w:r>
      <w:proofErr w:type="spellStart"/>
      <w:r w:rsidRPr="00B1778B">
        <w:rPr>
          <w:color w:val="auto"/>
          <w:sz w:val="24"/>
          <w:szCs w:val="24"/>
        </w:rPr>
        <w:t>Печенгского</w:t>
      </w:r>
      <w:proofErr w:type="spellEnd"/>
      <w:r w:rsidRPr="00B1778B">
        <w:rPr>
          <w:color w:val="auto"/>
          <w:sz w:val="24"/>
          <w:szCs w:val="24"/>
        </w:rPr>
        <w:t xml:space="preserve"> муниципального округа в январе-июне 2024 года составила 1 031,6 млн. рублей (35,2 % к аналогичному периоду 2023 года). Кредиторская задолженность составила 1 047,3 млн. рублей (93,5% к январю-июню 2023 года). </w:t>
      </w:r>
    </w:p>
    <w:p w:rsidR="00FD2F9C" w:rsidRPr="00B1778B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 w:rsidRPr="00B1778B">
        <w:rPr>
          <w:rFonts w:eastAsiaTheme="minorHAnsi"/>
          <w:color w:val="auto"/>
          <w:sz w:val="24"/>
          <w:szCs w:val="24"/>
          <w:lang w:eastAsia="en-US"/>
        </w:rPr>
        <w:t>По данным ТОФСГС Мурманской области</w:t>
      </w:r>
      <w:r w:rsidRPr="00B1778B">
        <w:rPr>
          <w:color w:val="auto"/>
          <w:sz w:val="24"/>
          <w:szCs w:val="24"/>
        </w:rPr>
        <w:t xml:space="preserve"> за период январь-июнь 2024 года общее количество прибыльных организаций (по юридическим лицам, кроме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B1778B">
        <w:rPr>
          <w:color w:val="auto"/>
          <w:sz w:val="24"/>
          <w:szCs w:val="24"/>
        </w:rPr>
        <w:t>некредитных</w:t>
      </w:r>
      <w:proofErr w:type="spellEnd"/>
      <w:r w:rsidRPr="00B1778B">
        <w:rPr>
          <w:color w:val="auto"/>
          <w:sz w:val="24"/>
          <w:szCs w:val="24"/>
        </w:rPr>
        <w:t xml:space="preserve"> финансовых организаций, а также организаций, у которых в течение двух предыдущих лет средняя численность работников не превышает 15 человек, включая работающих по совместительству и договорам  гражданско-правового характера, и в течение двух предыдущих лет</w:t>
      </w:r>
      <w:proofErr w:type="gramEnd"/>
      <w:r w:rsidRPr="00B1778B">
        <w:rPr>
          <w:color w:val="auto"/>
          <w:sz w:val="24"/>
          <w:szCs w:val="24"/>
        </w:rPr>
        <w:t xml:space="preserve"> годовой оборот организации не превышает 800 млн. рублей) составило 2 единицы (50 % к январю-июню 2023 года). Общее число убыточных крупных и средних организаций – 2 единицы (0 – по итогам аналогичного периода 2023 года).</w:t>
      </w:r>
      <w:bookmarkStart w:id="16" w:name="_Toc106522162"/>
      <w:bookmarkStart w:id="17" w:name="_Toc106522212"/>
      <w:bookmarkStart w:id="18" w:name="_Toc106522357"/>
      <w:bookmarkStart w:id="19" w:name="_Toc106522958"/>
      <w:bookmarkStart w:id="20" w:name="_Toc106526624"/>
      <w:bookmarkEnd w:id="11"/>
      <w:bookmarkEnd w:id="12"/>
      <w:bookmarkEnd w:id="13"/>
      <w:bookmarkEnd w:id="14"/>
      <w:bookmarkEnd w:id="15"/>
    </w:p>
    <w:p w:rsidR="00FD2F9C" w:rsidRPr="00B1778B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45554A">
        <w:rPr>
          <w:color w:val="auto"/>
          <w:sz w:val="24"/>
          <w:szCs w:val="24"/>
        </w:rPr>
        <w:t>Прогнозируемый финансовый результат организаций в январе-декабре 2024 года составит 3 446,3 млн. рублей (январь-декабрь 2023 года – 3 254,3 млн. рублей).</w:t>
      </w:r>
    </w:p>
    <w:p w:rsidR="00FD2F9C" w:rsidRPr="00B1778B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FD2F9C" w:rsidRPr="0068594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center"/>
        <w:rPr>
          <w:b/>
          <w:color w:val="auto"/>
          <w:sz w:val="24"/>
          <w:szCs w:val="24"/>
        </w:rPr>
      </w:pPr>
      <w:r w:rsidRPr="00685947">
        <w:rPr>
          <w:b/>
          <w:color w:val="auto"/>
          <w:sz w:val="24"/>
          <w:szCs w:val="24"/>
        </w:rPr>
        <w:t>7. Труд и занятость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center"/>
        <w:rPr>
          <w:b/>
          <w:color w:val="FF0000"/>
          <w:sz w:val="24"/>
          <w:szCs w:val="24"/>
        </w:rPr>
      </w:pPr>
    </w:p>
    <w:p w:rsidR="00FD2F9C" w:rsidRPr="001F4EA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943B4">
        <w:rPr>
          <w:rFonts w:eastAsiaTheme="minorHAnsi"/>
          <w:color w:val="auto"/>
          <w:sz w:val="24"/>
          <w:szCs w:val="24"/>
          <w:lang w:eastAsia="en-US"/>
        </w:rPr>
        <w:t xml:space="preserve">Среднесписочная численность работников в крупных и средних организациях </w:t>
      </w:r>
      <w:proofErr w:type="spellStart"/>
      <w:r w:rsidRPr="004943B4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943B4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2023 году составила </w:t>
      </w:r>
      <w:r w:rsidRPr="001F4EAC">
        <w:rPr>
          <w:rFonts w:eastAsiaTheme="minorHAnsi"/>
          <w:color w:val="auto"/>
          <w:sz w:val="24"/>
          <w:szCs w:val="24"/>
          <w:lang w:eastAsia="en-US"/>
        </w:rPr>
        <w:t xml:space="preserve">10 042 человек (10 175 человек – в 2022 году). </w:t>
      </w:r>
    </w:p>
    <w:p w:rsidR="00FD2F9C" w:rsidRPr="007D5AC8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943B4">
        <w:rPr>
          <w:rFonts w:eastAsiaTheme="minorHAnsi"/>
          <w:color w:val="auto"/>
          <w:sz w:val="24"/>
          <w:szCs w:val="24"/>
          <w:lang w:eastAsia="en-US"/>
        </w:rPr>
        <w:t xml:space="preserve">Среднемесячная номинальная начисленная заработная плата одного работника в организациях, расположенных на территории </w:t>
      </w:r>
      <w:proofErr w:type="spellStart"/>
      <w:r w:rsidRPr="004943B4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943B4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 (без субъектов малого предпринимательства), по статистическим данным за 202</w:t>
      </w: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Pr="004943B4">
        <w:rPr>
          <w:rFonts w:eastAsiaTheme="minorHAnsi"/>
          <w:color w:val="auto"/>
          <w:sz w:val="24"/>
          <w:szCs w:val="24"/>
          <w:lang w:eastAsia="en-US"/>
        </w:rPr>
        <w:t xml:space="preserve"> год составила</w:t>
      </w:r>
      <w:r w:rsidRPr="00AD3FD7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1F4EAC">
        <w:rPr>
          <w:rFonts w:eastAsiaTheme="minorHAnsi"/>
          <w:color w:val="auto"/>
          <w:sz w:val="24"/>
          <w:szCs w:val="24"/>
          <w:lang w:eastAsia="en-US"/>
        </w:rPr>
        <w:t xml:space="preserve">95 351,3 рублей, и увеличилась по сравнению с 2022 годом на 4,8 %, ее </w:t>
      </w:r>
      <w:r w:rsidRPr="007D5AC8">
        <w:rPr>
          <w:rFonts w:eastAsiaTheme="minorHAnsi"/>
          <w:color w:val="auto"/>
          <w:sz w:val="24"/>
          <w:szCs w:val="24"/>
          <w:lang w:eastAsia="en-US"/>
        </w:rPr>
        <w:lastRenderedPageBreak/>
        <w:t>реальное наполнение уменьшилось на 1,9 %.</w:t>
      </w:r>
    </w:p>
    <w:p w:rsidR="00FD2F9C" w:rsidRPr="007D5AC8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7D5AC8">
        <w:rPr>
          <w:color w:val="auto"/>
          <w:sz w:val="24"/>
          <w:szCs w:val="24"/>
        </w:rPr>
        <w:t xml:space="preserve">На рост среднемесячной заработной платы в 2023 году оказало влияние проведение индексации оплаты труда работников </w:t>
      </w:r>
      <w:r>
        <w:rPr>
          <w:color w:val="auto"/>
          <w:sz w:val="24"/>
          <w:szCs w:val="24"/>
        </w:rPr>
        <w:t xml:space="preserve">практически </w:t>
      </w:r>
      <w:r w:rsidRPr="00240E2F">
        <w:rPr>
          <w:color w:val="auto"/>
          <w:sz w:val="24"/>
          <w:szCs w:val="24"/>
        </w:rPr>
        <w:t xml:space="preserve">всех </w:t>
      </w:r>
      <w:r w:rsidRPr="007D5AC8">
        <w:rPr>
          <w:color w:val="auto"/>
          <w:sz w:val="24"/>
          <w:szCs w:val="24"/>
        </w:rPr>
        <w:t xml:space="preserve">отраслей экономики, увеличение МРОТ. 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701"/>
      </w:tblGrid>
      <w:tr w:rsidR="00FD2F9C" w:rsidRPr="00AD3FD7" w:rsidTr="00AA411B">
        <w:trPr>
          <w:trHeight w:val="385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F9C" w:rsidRPr="00556745" w:rsidRDefault="00FD2F9C" w:rsidP="00AA41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74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По данным Росстата в разрезе отраслей экономики среднемесячная заработная плата в организациях </w:t>
            </w:r>
            <w:proofErr w:type="spellStart"/>
            <w:r w:rsidRPr="0055674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55674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муниципального округа (без субъектов малого предпринимательства) в 2023 году составила: </w:t>
            </w:r>
          </w:p>
          <w:p w:rsidR="00FD2F9C" w:rsidRPr="00AD3FD7" w:rsidRDefault="00FD2F9C" w:rsidP="00AA41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FD2F9C" w:rsidRPr="00AD3FD7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AD3FD7"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C" w:rsidRPr="004943B4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943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Вид деятельности</w:t>
            </w:r>
          </w:p>
          <w:p w:rsidR="00FD2F9C" w:rsidRPr="004943B4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C" w:rsidRPr="004943B4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943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рублей</w:t>
            </w:r>
          </w:p>
          <w:p w:rsidR="00FD2F9C" w:rsidRPr="004943B4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C" w:rsidRPr="004943B4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943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Темп роста</w:t>
            </w:r>
          </w:p>
          <w:p w:rsidR="00FD2F9C" w:rsidRPr="004943B4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943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% к 202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  <w:r w:rsidRPr="004943B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  <w:tcBorders>
              <w:top w:val="single" w:sz="4" w:space="0" w:color="auto"/>
            </w:tcBorders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122 828,3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+0,2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Обеспечение электрической энергией, газом и паром; кондиционирование воздуха </w:t>
            </w: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66 560,1</w:t>
            </w: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+5,9</w:t>
            </w: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Торговля оптовая и розничная; ремонт автотранспортных средств и мотоциклов </w:t>
            </w:r>
          </w:p>
          <w:p w:rsidR="00FD2F9C" w:rsidRPr="00ED4B5F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63 855,4 </w:t>
            </w:r>
          </w:p>
        </w:tc>
        <w:tc>
          <w:tcPr>
            <w:tcW w:w="1701" w:type="dxa"/>
          </w:tcPr>
          <w:p w:rsidR="00FD2F9C" w:rsidRPr="00ED4B5F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ED4B5F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+11,6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Транспортировка и хранение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88 106,7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+0,8</w:t>
            </w:r>
          </w:p>
        </w:tc>
      </w:tr>
      <w:tr w:rsidR="00FD2F9C" w:rsidRPr="00AD3FD7" w:rsidTr="00AA411B">
        <w:trPr>
          <w:trHeight w:val="246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гостиниц и предприятий общественного питания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63 409,8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+9,2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информации и связи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110 031,0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+4,2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финансовая и страховая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136 710,0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+19,9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по операциям с недвижимым имуществом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46 808,2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+12,5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профессиональная, научная и техническая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77 840,8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-6,5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административная и сопутствующие дополнительные услуги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67 341,8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+4,9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  <w:p w:rsidR="00FD2F9C" w:rsidRPr="00BF3201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82 694,8 </w:t>
            </w:r>
          </w:p>
        </w:tc>
        <w:tc>
          <w:tcPr>
            <w:tcW w:w="1701" w:type="dxa"/>
          </w:tcPr>
          <w:p w:rsidR="00FD2F9C" w:rsidRPr="00BF3201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BF320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+11,2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FD2F9C" w:rsidRPr="001A2963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65 594,9 </w:t>
            </w:r>
          </w:p>
        </w:tc>
        <w:tc>
          <w:tcPr>
            <w:tcW w:w="1701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+17,5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65 974,5 </w:t>
            </w:r>
          </w:p>
        </w:tc>
        <w:tc>
          <w:tcPr>
            <w:tcW w:w="1701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+13,3</w:t>
            </w:r>
          </w:p>
        </w:tc>
      </w:tr>
      <w:tr w:rsidR="00FD2F9C" w:rsidRPr="00AD3FD7" w:rsidTr="00AA411B">
        <w:trPr>
          <w:trHeight w:val="247"/>
        </w:trPr>
        <w:tc>
          <w:tcPr>
            <w:tcW w:w="6204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культуры, спорта, организации досуга и развлечений </w:t>
            </w:r>
          </w:p>
          <w:p w:rsidR="00FD2F9C" w:rsidRPr="001A2963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69 986,1 </w:t>
            </w:r>
          </w:p>
        </w:tc>
        <w:tc>
          <w:tcPr>
            <w:tcW w:w="1701" w:type="dxa"/>
          </w:tcPr>
          <w:p w:rsidR="00FD2F9C" w:rsidRPr="001A2963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1A2963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+10,1</w:t>
            </w:r>
          </w:p>
        </w:tc>
      </w:tr>
      <w:tr w:rsidR="00FD2F9C" w:rsidRPr="00AD3FD7" w:rsidTr="00AA411B">
        <w:trPr>
          <w:trHeight w:val="109"/>
        </w:trPr>
        <w:tc>
          <w:tcPr>
            <w:tcW w:w="6204" w:type="dxa"/>
          </w:tcPr>
          <w:p w:rsidR="00FD2F9C" w:rsidRPr="00AD3FD7" w:rsidRDefault="00FD2F9C" w:rsidP="00AA411B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AD3FD7" w:rsidRDefault="00FD2F9C" w:rsidP="00AA41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D2F9C" w:rsidRPr="00AD3FD7" w:rsidRDefault="00FD2F9C" w:rsidP="00AA41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</w:tr>
    </w:tbl>
    <w:p w:rsidR="00FD2F9C" w:rsidRPr="0074193C" w:rsidRDefault="00FD2F9C" w:rsidP="00FD2F9C">
      <w:pPr>
        <w:pStyle w:val="Default"/>
        <w:ind w:firstLine="709"/>
        <w:jc w:val="both"/>
        <w:rPr>
          <w:color w:val="auto"/>
        </w:rPr>
      </w:pPr>
      <w:r w:rsidRPr="0074193C">
        <w:rPr>
          <w:color w:val="auto"/>
        </w:rPr>
        <w:lastRenderedPageBreak/>
        <w:t xml:space="preserve">Среднегодовая численность населения в трудоспособном возрасте в 2023 году снизилась на 3,3 % по сравнению с 2022 годом, и составила 19 110 человек. На снижение численности граждан трудоспособного возраста повлияли естественная и миграционная убыль населения </w:t>
      </w:r>
      <w:proofErr w:type="spellStart"/>
      <w:r w:rsidRPr="0074193C">
        <w:rPr>
          <w:color w:val="auto"/>
        </w:rPr>
        <w:t>Печенгского</w:t>
      </w:r>
      <w:proofErr w:type="spellEnd"/>
      <w:r w:rsidRPr="0074193C">
        <w:rPr>
          <w:color w:val="auto"/>
        </w:rPr>
        <w:t xml:space="preserve"> муниципального округа.</w:t>
      </w:r>
    </w:p>
    <w:p w:rsidR="00FD2F9C" w:rsidRPr="00474DE9" w:rsidRDefault="00FD2F9C" w:rsidP="00FD2F9C">
      <w:pPr>
        <w:pStyle w:val="Default"/>
        <w:ind w:firstLine="709"/>
        <w:jc w:val="both"/>
        <w:rPr>
          <w:color w:val="auto"/>
        </w:rPr>
      </w:pPr>
      <w:r w:rsidRPr="001A2963">
        <w:rPr>
          <w:color w:val="auto"/>
        </w:rPr>
        <w:t xml:space="preserve">Численность официально </w:t>
      </w:r>
      <w:r w:rsidRPr="00474DE9">
        <w:rPr>
          <w:color w:val="auto"/>
        </w:rPr>
        <w:t xml:space="preserve">зарегистрированных безработных в среднем за 2023 год составила 150 человек, уровень безработицы составил 0,8 % (в 2022 году – 216 человек, 1,1% соответственно). </w:t>
      </w:r>
    </w:p>
    <w:p w:rsidR="00FD2F9C" w:rsidRPr="001A2963" w:rsidRDefault="00FD2F9C" w:rsidP="00FD2F9C">
      <w:pPr>
        <w:pStyle w:val="Default"/>
        <w:ind w:firstLine="709"/>
        <w:jc w:val="both"/>
        <w:rPr>
          <w:color w:val="auto"/>
          <w:highlight w:val="yellow"/>
        </w:rPr>
      </w:pPr>
      <w:r w:rsidRPr="00474DE9">
        <w:rPr>
          <w:color w:val="auto"/>
        </w:rPr>
        <w:t>Ожидается, что среднегодовая</w:t>
      </w:r>
      <w:r w:rsidRPr="001A2963">
        <w:rPr>
          <w:color w:val="auto"/>
        </w:rPr>
        <w:t xml:space="preserve"> численность официально зарегистрированных безработных за 2024 год составит 120 человек или 0,6 % к среднегодовой численности населения в трудоспособном возрасте, что на 25,0 % ниже, чем за 2023 год. </w:t>
      </w:r>
    </w:p>
    <w:p w:rsidR="00FD2F9C" w:rsidRPr="00CC1B33" w:rsidRDefault="00FD2F9C" w:rsidP="00FD2F9C">
      <w:pPr>
        <w:ind w:firstLine="720"/>
        <w:jc w:val="both"/>
        <w:rPr>
          <w:color w:val="auto"/>
          <w:sz w:val="24"/>
          <w:szCs w:val="24"/>
        </w:rPr>
      </w:pPr>
      <w:r w:rsidRPr="00CC1B33">
        <w:rPr>
          <w:color w:val="auto"/>
          <w:sz w:val="24"/>
          <w:szCs w:val="24"/>
        </w:rPr>
        <w:t xml:space="preserve">Потребность организаций в работниках, заявленная в службу занятости </w:t>
      </w:r>
      <w:r>
        <w:rPr>
          <w:color w:val="auto"/>
          <w:sz w:val="24"/>
          <w:szCs w:val="24"/>
        </w:rPr>
        <w:t xml:space="preserve">на 01.01.2024 года - </w:t>
      </w:r>
      <w:r w:rsidRPr="00CC1B33">
        <w:rPr>
          <w:color w:val="auto"/>
          <w:sz w:val="24"/>
          <w:szCs w:val="24"/>
        </w:rPr>
        <w:t xml:space="preserve">516 человек, нагрузка незанятого населения на одну заявленную вакансию (коэффициент напряженности) – 0,18 человека на 1 рабочее место. Для сравнения, на 01.01.2023 года число заявленных вакансий составило 600 человека, коэффициент напряженности – 0,37 человека на 1 рабочее место. </w:t>
      </w: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  <w:highlight w:val="yellow"/>
        </w:rPr>
      </w:pPr>
    </w:p>
    <w:p w:rsidR="00FD2F9C" w:rsidRPr="003737CF" w:rsidRDefault="00FD2F9C" w:rsidP="00FD2F9C">
      <w:pPr>
        <w:ind w:firstLine="720"/>
        <w:jc w:val="both"/>
        <w:rPr>
          <w:color w:val="auto"/>
          <w:sz w:val="24"/>
          <w:szCs w:val="24"/>
        </w:rPr>
      </w:pPr>
      <w:r w:rsidRPr="003737CF">
        <w:rPr>
          <w:color w:val="auto"/>
          <w:sz w:val="24"/>
          <w:szCs w:val="24"/>
        </w:rPr>
        <w:t xml:space="preserve">По данным Отделения Фонда пенсионного и социального страхования Российской Федерации по Мурманской области численность пенсионеров в </w:t>
      </w:r>
      <w:proofErr w:type="spellStart"/>
      <w:r w:rsidRPr="003737CF">
        <w:rPr>
          <w:color w:val="auto"/>
          <w:sz w:val="24"/>
          <w:szCs w:val="24"/>
        </w:rPr>
        <w:t>Печенгском</w:t>
      </w:r>
      <w:proofErr w:type="spellEnd"/>
      <w:r w:rsidRPr="003737CF">
        <w:rPr>
          <w:color w:val="auto"/>
          <w:sz w:val="24"/>
          <w:szCs w:val="24"/>
        </w:rPr>
        <w:t xml:space="preserve"> муниципальном округе (без учета военнослужащих, которым установлена страховая пенсия по старости, срочная пенсионная выплата и накопительная пенсия) в 2023 году составила 9,5 </w:t>
      </w:r>
      <w:proofErr w:type="spellStart"/>
      <w:r w:rsidRPr="003737CF">
        <w:rPr>
          <w:color w:val="auto"/>
          <w:sz w:val="24"/>
          <w:szCs w:val="24"/>
        </w:rPr>
        <w:t>тыс</w:t>
      </w:r>
      <w:proofErr w:type="gramStart"/>
      <w:r w:rsidRPr="003737CF">
        <w:rPr>
          <w:color w:val="auto"/>
          <w:sz w:val="24"/>
          <w:szCs w:val="24"/>
        </w:rPr>
        <w:t>.ч</w:t>
      </w:r>
      <w:proofErr w:type="gramEnd"/>
      <w:r w:rsidRPr="003737CF">
        <w:rPr>
          <w:color w:val="auto"/>
          <w:sz w:val="24"/>
          <w:szCs w:val="24"/>
        </w:rPr>
        <w:t>еловек</w:t>
      </w:r>
      <w:proofErr w:type="spellEnd"/>
      <w:r w:rsidRPr="003737CF">
        <w:rPr>
          <w:color w:val="auto"/>
          <w:sz w:val="24"/>
          <w:szCs w:val="24"/>
        </w:rPr>
        <w:t>, из них работающие 3,3 тыс. человек. Оценка численности в 2024 году – 9,4 тыс. пенсионеров, из них 3,2 тыс. – работающие.</w:t>
      </w:r>
      <w:r>
        <w:rPr>
          <w:color w:val="auto"/>
          <w:sz w:val="24"/>
          <w:szCs w:val="24"/>
        </w:rPr>
        <w:t xml:space="preserve"> Средний размер </w:t>
      </w:r>
      <w:proofErr w:type="spellStart"/>
      <w:r>
        <w:rPr>
          <w:color w:val="auto"/>
          <w:sz w:val="24"/>
          <w:szCs w:val="24"/>
        </w:rPr>
        <w:t>пеннсии</w:t>
      </w:r>
      <w:proofErr w:type="spellEnd"/>
      <w:r>
        <w:rPr>
          <w:color w:val="auto"/>
          <w:sz w:val="24"/>
          <w:szCs w:val="24"/>
        </w:rPr>
        <w:t xml:space="preserve"> в 2023 году – 25 649,49 рублей (+5,6 % в сравнении с показателем 2022 года – 24 282,06 рублей). Прогнозируемы средний размер пенсии в 2024 году – 27 573,87 рублей.</w:t>
      </w:r>
    </w:p>
    <w:p w:rsidR="00FD2F9C" w:rsidRPr="00EB072A" w:rsidRDefault="00FD2F9C" w:rsidP="00FD2F9C">
      <w:pPr>
        <w:ind w:firstLine="720"/>
        <w:jc w:val="both"/>
        <w:rPr>
          <w:color w:val="auto"/>
          <w:sz w:val="24"/>
          <w:szCs w:val="24"/>
        </w:rPr>
      </w:pPr>
      <w:r w:rsidRPr="00EB072A">
        <w:rPr>
          <w:color w:val="auto"/>
          <w:sz w:val="24"/>
          <w:szCs w:val="24"/>
        </w:rPr>
        <w:t xml:space="preserve">Среднесписочная численность работников организаций (без субъектов малого предпринимательства) по </w:t>
      </w:r>
      <w:proofErr w:type="spellStart"/>
      <w:r w:rsidRPr="00EB072A">
        <w:rPr>
          <w:color w:val="auto"/>
          <w:sz w:val="24"/>
          <w:szCs w:val="24"/>
        </w:rPr>
        <w:t>Печенгскому</w:t>
      </w:r>
      <w:proofErr w:type="spellEnd"/>
      <w:r w:rsidRPr="00EB072A">
        <w:rPr>
          <w:color w:val="auto"/>
          <w:sz w:val="24"/>
          <w:szCs w:val="24"/>
        </w:rPr>
        <w:t xml:space="preserve"> муниципальному округу за январь – июнь 2024 года составила 9 438 человек (за январь – июнь 2023 года – 10 192 человека).</w:t>
      </w:r>
    </w:p>
    <w:p w:rsidR="00FD2F9C" w:rsidRPr="00EB072A" w:rsidRDefault="00FD2F9C" w:rsidP="00FD2F9C">
      <w:pPr>
        <w:pStyle w:val="Default"/>
        <w:ind w:firstLine="709"/>
        <w:jc w:val="both"/>
        <w:rPr>
          <w:color w:val="auto"/>
        </w:rPr>
      </w:pPr>
      <w:r w:rsidRPr="00EB072A">
        <w:rPr>
          <w:color w:val="auto"/>
        </w:rPr>
        <w:t xml:space="preserve">Ожидается, что в 2024 году среднесписочная численность работников </w:t>
      </w:r>
      <w:proofErr w:type="spellStart"/>
      <w:proofErr w:type="gramStart"/>
      <w:r w:rsidRPr="00EB072A">
        <w:rPr>
          <w:color w:val="auto"/>
        </w:rPr>
        <w:t>работников</w:t>
      </w:r>
      <w:proofErr w:type="spellEnd"/>
      <w:proofErr w:type="gramEnd"/>
      <w:r w:rsidRPr="00EB072A">
        <w:rPr>
          <w:color w:val="auto"/>
        </w:rPr>
        <w:t xml:space="preserve"> организаций  (без субъектов малого предпринимательства) </w:t>
      </w:r>
      <w:proofErr w:type="spellStart"/>
      <w:r w:rsidRPr="00EB072A">
        <w:rPr>
          <w:color w:val="auto"/>
        </w:rPr>
        <w:t>Печенгского</w:t>
      </w:r>
      <w:proofErr w:type="spellEnd"/>
      <w:r w:rsidRPr="00EB072A">
        <w:rPr>
          <w:color w:val="auto"/>
        </w:rPr>
        <w:t xml:space="preserve"> муниципального округа составит 9 438 человек.</w:t>
      </w: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</w:rPr>
      </w:pPr>
      <w:r w:rsidRPr="001A2963">
        <w:rPr>
          <w:color w:val="auto"/>
        </w:rPr>
        <w:t xml:space="preserve">Среднемесячная номинальная начисленная заработная плата одного работника в крупных и средних организациях по </w:t>
      </w:r>
      <w:proofErr w:type="spellStart"/>
      <w:r w:rsidRPr="001A2963">
        <w:rPr>
          <w:color w:val="auto"/>
        </w:rPr>
        <w:t>Печенгскому</w:t>
      </w:r>
      <w:proofErr w:type="spellEnd"/>
      <w:r w:rsidRPr="001A2963">
        <w:rPr>
          <w:color w:val="auto"/>
        </w:rPr>
        <w:t xml:space="preserve"> муниципальному округу за январь – июнь 2024 года составила 102 324,3 рублей и увеличилась по сравнению с аналогичным периодом прошлого года на 12,5%, </w:t>
      </w:r>
      <w:r w:rsidRPr="00DF3D71">
        <w:rPr>
          <w:color w:val="auto"/>
        </w:rPr>
        <w:t xml:space="preserve">ее реальное содержание увеличилось на 9,3%. </w:t>
      </w:r>
    </w:p>
    <w:p w:rsidR="00FD2F9C" w:rsidRPr="00DF3D71" w:rsidRDefault="00FD2F9C" w:rsidP="00FD2F9C">
      <w:pPr>
        <w:pStyle w:val="Default"/>
        <w:ind w:firstLine="709"/>
        <w:jc w:val="both"/>
        <w:rPr>
          <w:color w:val="auto"/>
        </w:rPr>
      </w:pPr>
      <w:r w:rsidRPr="00556745">
        <w:rPr>
          <w:color w:val="auto"/>
        </w:rPr>
        <w:t xml:space="preserve">По оценке, в 2024 году среднемесячная заработная плата одного работника в крупных и средних организациях по </w:t>
      </w:r>
      <w:proofErr w:type="spellStart"/>
      <w:r w:rsidRPr="00556745">
        <w:rPr>
          <w:color w:val="auto"/>
        </w:rPr>
        <w:t>Печенгскому</w:t>
      </w:r>
      <w:proofErr w:type="spellEnd"/>
      <w:r w:rsidRPr="00556745">
        <w:rPr>
          <w:color w:val="auto"/>
        </w:rPr>
        <w:t xml:space="preserve"> муниципальному </w:t>
      </w:r>
      <w:r w:rsidRPr="00DF3D71">
        <w:rPr>
          <w:color w:val="auto"/>
        </w:rPr>
        <w:t>округу вырастет на 12,1% и составит 106 900,0 рублей. Прогнозируемый уровень реального содержания заработной платы увеличится на</w:t>
      </w:r>
      <w:r w:rsidRPr="00AD3FD7">
        <w:rPr>
          <w:color w:val="FF0000"/>
        </w:rPr>
        <w:t xml:space="preserve"> </w:t>
      </w:r>
      <w:r w:rsidRPr="00DF3D71">
        <w:rPr>
          <w:color w:val="auto"/>
        </w:rPr>
        <w:t xml:space="preserve">5,2 % в сравнении с </w:t>
      </w:r>
      <w:proofErr w:type="spellStart"/>
      <w:r w:rsidRPr="00DF3D71">
        <w:rPr>
          <w:color w:val="auto"/>
        </w:rPr>
        <w:t>аналогогичным</w:t>
      </w:r>
      <w:proofErr w:type="spellEnd"/>
      <w:r w:rsidRPr="00DF3D71">
        <w:rPr>
          <w:color w:val="auto"/>
        </w:rPr>
        <w:t xml:space="preserve"> периодом  2022 года и составит 103,2 %. </w:t>
      </w:r>
    </w:p>
    <w:bookmarkEnd w:id="16"/>
    <w:bookmarkEnd w:id="17"/>
    <w:bookmarkEnd w:id="18"/>
    <w:bookmarkEnd w:id="19"/>
    <w:bookmarkEnd w:id="20"/>
    <w:p w:rsidR="00FD2F9C" w:rsidRPr="00AD3FD7" w:rsidRDefault="00FD2F9C" w:rsidP="00FD2F9C">
      <w:pPr>
        <w:ind w:firstLine="708"/>
        <w:rPr>
          <w:color w:val="FF0000"/>
          <w:sz w:val="24"/>
          <w:szCs w:val="24"/>
          <w:highlight w:val="yellow"/>
        </w:rPr>
      </w:pPr>
    </w:p>
    <w:p w:rsidR="00FD2F9C" w:rsidRPr="00685947" w:rsidRDefault="00FD2F9C" w:rsidP="00FD2F9C">
      <w:pPr>
        <w:jc w:val="center"/>
        <w:rPr>
          <w:b/>
          <w:color w:val="auto"/>
          <w:sz w:val="24"/>
          <w:szCs w:val="24"/>
        </w:rPr>
      </w:pPr>
      <w:r w:rsidRPr="00685947">
        <w:rPr>
          <w:b/>
          <w:color w:val="auto"/>
          <w:sz w:val="24"/>
          <w:szCs w:val="24"/>
        </w:rPr>
        <w:t>8.  Развитие социальной сферы</w:t>
      </w:r>
    </w:p>
    <w:p w:rsidR="00FD2F9C" w:rsidRPr="00AD3FD7" w:rsidRDefault="00FD2F9C" w:rsidP="00FD2F9C">
      <w:pPr>
        <w:ind w:left="540"/>
        <w:jc w:val="center"/>
        <w:rPr>
          <w:b/>
          <w:color w:val="FF0000"/>
          <w:sz w:val="24"/>
          <w:szCs w:val="24"/>
          <w:highlight w:val="yellow"/>
        </w:rPr>
      </w:pPr>
    </w:p>
    <w:p w:rsidR="00FD2F9C" w:rsidRPr="002B668E" w:rsidRDefault="00FD2F9C" w:rsidP="00FD2F9C">
      <w:pPr>
        <w:pStyle w:val="Default"/>
        <w:ind w:firstLine="709"/>
        <w:jc w:val="both"/>
        <w:rPr>
          <w:color w:val="auto"/>
        </w:rPr>
      </w:pPr>
      <w:r w:rsidRPr="002B668E">
        <w:rPr>
          <w:color w:val="auto"/>
        </w:rPr>
        <w:t xml:space="preserve">Сеть муниципальных образовательных учреждений в </w:t>
      </w:r>
      <w:proofErr w:type="spellStart"/>
      <w:r w:rsidRPr="002B668E">
        <w:rPr>
          <w:color w:val="auto"/>
        </w:rPr>
        <w:t>Печенгском</w:t>
      </w:r>
      <w:proofErr w:type="spellEnd"/>
      <w:r w:rsidRPr="002B668E">
        <w:rPr>
          <w:color w:val="auto"/>
        </w:rPr>
        <w:t xml:space="preserve"> муниципальном округе представлена 10 общеобразовательными организациями, 14 дошкольными образовательными </w:t>
      </w:r>
      <w:r w:rsidRPr="005878A6">
        <w:rPr>
          <w:color w:val="auto"/>
        </w:rPr>
        <w:t xml:space="preserve">организациями и двумя группами дошкольного </w:t>
      </w:r>
      <w:r w:rsidRPr="002B668E">
        <w:rPr>
          <w:color w:val="auto"/>
        </w:rPr>
        <w:t xml:space="preserve">возраста в МБОУ СОШ № 11 </w:t>
      </w:r>
      <w:proofErr w:type="spellStart"/>
      <w:r w:rsidRPr="002B668E">
        <w:rPr>
          <w:color w:val="auto"/>
        </w:rPr>
        <w:t>н.п</w:t>
      </w:r>
      <w:proofErr w:type="spellEnd"/>
      <w:r w:rsidRPr="002B668E">
        <w:rPr>
          <w:color w:val="auto"/>
        </w:rPr>
        <w:t xml:space="preserve">. </w:t>
      </w:r>
      <w:proofErr w:type="spellStart"/>
      <w:r w:rsidRPr="002B668E">
        <w:rPr>
          <w:color w:val="auto"/>
        </w:rPr>
        <w:t>Раякоски</w:t>
      </w:r>
      <w:proofErr w:type="spellEnd"/>
      <w:r w:rsidRPr="002B668E">
        <w:rPr>
          <w:color w:val="auto"/>
        </w:rPr>
        <w:t xml:space="preserve"> (далее – ДОУ).</w:t>
      </w:r>
    </w:p>
    <w:p w:rsidR="00FD2F9C" w:rsidRPr="005878A6" w:rsidRDefault="00FD2F9C" w:rsidP="00FD2F9C">
      <w:pPr>
        <w:pStyle w:val="Default"/>
        <w:ind w:firstLine="709"/>
        <w:jc w:val="both"/>
        <w:rPr>
          <w:color w:val="auto"/>
        </w:rPr>
      </w:pPr>
      <w:r w:rsidRPr="00C45B12">
        <w:rPr>
          <w:color w:val="auto"/>
        </w:rPr>
        <w:t xml:space="preserve">Численность детей в ДОУ в 2023 году составила 1 862 детей, прогнозируемая в 2024 году  – 1 848 детей. </w:t>
      </w:r>
      <w:r w:rsidRPr="005878A6">
        <w:t xml:space="preserve">Снижение показателя по причине оттока детей из детских садов, расположенных на территориях воинских частей в </w:t>
      </w:r>
      <w:proofErr w:type="spellStart"/>
      <w:r w:rsidRPr="005878A6">
        <w:t>пгт</w:t>
      </w:r>
      <w:proofErr w:type="spellEnd"/>
      <w:r w:rsidRPr="005878A6">
        <w:t xml:space="preserve">. Печенга, </w:t>
      </w:r>
      <w:proofErr w:type="spellStart"/>
      <w:r w:rsidRPr="005878A6">
        <w:t>нп</w:t>
      </w:r>
      <w:proofErr w:type="spellEnd"/>
      <w:r w:rsidRPr="005878A6">
        <w:t xml:space="preserve">. Спутник, </w:t>
      </w:r>
      <w:proofErr w:type="spellStart"/>
      <w:r w:rsidRPr="005878A6">
        <w:t>нп</w:t>
      </w:r>
      <w:proofErr w:type="spellEnd"/>
      <w:r w:rsidRPr="005878A6">
        <w:t xml:space="preserve">. </w:t>
      </w:r>
      <w:proofErr w:type="spellStart"/>
      <w:r w:rsidRPr="005878A6">
        <w:t>Луостари</w:t>
      </w:r>
      <w:proofErr w:type="spellEnd"/>
      <w:r w:rsidRPr="005878A6">
        <w:t xml:space="preserve"> (отцы направлены на СВО, а мамы с детьми выехали в другие регионы РФ).</w:t>
      </w:r>
    </w:p>
    <w:p w:rsidR="00FD2F9C" w:rsidRPr="005878A6" w:rsidRDefault="00FD2F9C" w:rsidP="00FD2F9C">
      <w:pPr>
        <w:tabs>
          <w:tab w:val="left" w:pos="709"/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5878A6">
        <w:rPr>
          <w:sz w:val="24"/>
          <w:szCs w:val="24"/>
        </w:rPr>
        <w:t xml:space="preserve">В </w:t>
      </w:r>
      <w:proofErr w:type="spellStart"/>
      <w:r w:rsidRPr="005878A6">
        <w:rPr>
          <w:sz w:val="24"/>
          <w:szCs w:val="24"/>
        </w:rPr>
        <w:t>Печенгском</w:t>
      </w:r>
      <w:proofErr w:type="spellEnd"/>
      <w:r w:rsidRPr="005878A6">
        <w:rPr>
          <w:sz w:val="24"/>
          <w:szCs w:val="24"/>
        </w:rPr>
        <w:t xml:space="preserve"> </w:t>
      </w:r>
      <w:proofErr w:type="spellStart"/>
      <w:r w:rsidRPr="005878A6">
        <w:rPr>
          <w:sz w:val="24"/>
          <w:szCs w:val="24"/>
        </w:rPr>
        <w:t>муницпальном</w:t>
      </w:r>
      <w:proofErr w:type="spellEnd"/>
      <w:r w:rsidRPr="005878A6">
        <w:rPr>
          <w:sz w:val="24"/>
          <w:szCs w:val="24"/>
        </w:rPr>
        <w:t xml:space="preserve"> округе  полностью ликвидирована актуальная очередность в детские сады. </w:t>
      </w:r>
      <w:r w:rsidRPr="005878A6">
        <w:rPr>
          <w:color w:val="auto"/>
          <w:sz w:val="24"/>
          <w:szCs w:val="24"/>
        </w:rPr>
        <w:t xml:space="preserve">Услугами дошкольного образования обеспечены 100 % детей </w:t>
      </w:r>
      <w:r w:rsidRPr="005878A6">
        <w:rPr>
          <w:color w:val="auto"/>
          <w:sz w:val="24"/>
          <w:szCs w:val="24"/>
        </w:rPr>
        <w:lastRenderedPageBreak/>
        <w:t xml:space="preserve">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 </w:t>
      </w:r>
    </w:p>
    <w:p w:rsidR="00FD2F9C" w:rsidRPr="001B2ABF" w:rsidRDefault="00FD2F9C" w:rsidP="00FD2F9C">
      <w:pPr>
        <w:pStyle w:val="Default"/>
        <w:ind w:firstLine="709"/>
        <w:jc w:val="both"/>
        <w:rPr>
          <w:color w:val="auto"/>
        </w:rPr>
      </w:pPr>
      <w:proofErr w:type="gramStart"/>
      <w:r w:rsidRPr="001B2ABF">
        <w:rPr>
          <w:color w:val="auto"/>
        </w:rPr>
        <w:t xml:space="preserve">Показатель обеспеченности дошкольными образовательными учреждениями (расчет произведен в соответствии с «Методическими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области» как отношение числа мест в дошкольных образовательных учреждениях (умноженного на 100 к численности детей в возрасте от 1 года до 6 лет включительно) в 2023 году составил 125,1 места на 100 детей (в 2022 году – </w:t>
      </w:r>
      <w:r w:rsidRPr="0045554A">
        <w:rPr>
          <w:color w:val="auto"/>
        </w:rPr>
        <w:t>115,1 мест</w:t>
      </w:r>
      <w:proofErr w:type="gramEnd"/>
      <w:r w:rsidRPr="001B2ABF">
        <w:rPr>
          <w:color w:val="auto"/>
        </w:rPr>
        <w:t xml:space="preserve"> на 100 детей). Обеспеченность дошкольными образовательными учреждениями в 2024 году составит 129,1 мест на 100 детей. </w:t>
      </w:r>
    </w:p>
    <w:p w:rsidR="00FD2F9C" w:rsidRPr="001B2ABF" w:rsidRDefault="00FD2F9C" w:rsidP="00FD2F9C">
      <w:pPr>
        <w:pStyle w:val="Default"/>
        <w:ind w:firstLine="709"/>
        <w:jc w:val="both"/>
        <w:rPr>
          <w:color w:val="auto"/>
          <w:highlight w:val="yellow"/>
        </w:rPr>
      </w:pPr>
      <w:r w:rsidRPr="001B2ABF">
        <w:rPr>
          <w:color w:val="auto"/>
        </w:rPr>
        <w:t xml:space="preserve">Численность учащихся в общеобразовательных организациях в 2023 году составила 4 153 человека. Прогноз численности обучающихся </w:t>
      </w:r>
      <w:proofErr w:type="gramStart"/>
      <w:r w:rsidRPr="001B2ABF">
        <w:rPr>
          <w:color w:val="auto"/>
        </w:rPr>
        <w:t>на конец</w:t>
      </w:r>
      <w:proofErr w:type="gramEnd"/>
      <w:r w:rsidRPr="001B2ABF">
        <w:rPr>
          <w:color w:val="auto"/>
        </w:rPr>
        <w:t xml:space="preserve"> 2024 года  – 4 061 человек.</w:t>
      </w:r>
    </w:p>
    <w:p w:rsidR="00FD2F9C" w:rsidRDefault="00FD2F9C" w:rsidP="00FD2F9C">
      <w:pPr>
        <w:pStyle w:val="Default"/>
        <w:ind w:firstLine="709"/>
        <w:jc w:val="both"/>
      </w:pPr>
      <w:r w:rsidRPr="004B7D68">
        <w:rPr>
          <w:color w:val="auto"/>
        </w:rPr>
        <w:t xml:space="preserve">В восьми общеобразовательных организациях </w:t>
      </w:r>
      <w:proofErr w:type="spellStart"/>
      <w:r w:rsidRPr="004B7D68">
        <w:rPr>
          <w:color w:val="auto"/>
        </w:rPr>
        <w:t>Печенгского</w:t>
      </w:r>
      <w:proofErr w:type="spellEnd"/>
      <w:r w:rsidRPr="004B7D68">
        <w:rPr>
          <w:color w:val="auto"/>
        </w:rPr>
        <w:t xml:space="preserve"> муниципального округа осуществляется среднее общее образование, две школы -</w:t>
      </w:r>
      <w:r w:rsidRPr="004B7D68">
        <w:rPr>
          <w:color w:val="auto"/>
          <w:sz w:val="28"/>
          <w:szCs w:val="28"/>
        </w:rPr>
        <w:t xml:space="preserve"> </w:t>
      </w:r>
      <w:r w:rsidRPr="004B7D68">
        <w:t>основные общеобразовательные. В сельской местности функционирует 3 общеобразовательные школы (30% от общей численности учреждений). Две школы имеют классы для детей с ОВЗ (МБОУ ООШ № 20, МБОУ ООШ № 22).</w:t>
      </w:r>
      <w:r>
        <w:t xml:space="preserve"> </w:t>
      </w:r>
    </w:p>
    <w:p w:rsidR="00FD2F9C" w:rsidRDefault="00FD2F9C" w:rsidP="00FD2F9C">
      <w:pPr>
        <w:ind w:firstLineChars="253" w:firstLine="607"/>
        <w:jc w:val="both"/>
        <w:rPr>
          <w:sz w:val="24"/>
          <w:szCs w:val="24"/>
        </w:rPr>
      </w:pPr>
      <w:r w:rsidRPr="004B7D68">
        <w:rPr>
          <w:sz w:val="24"/>
          <w:szCs w:val="24"/>
        </w:rPr>
        <w:t>В 2023 году 100</w:t>
      </w:r>
      <w:r>
        <w:rPr>
          <w:sz w:val="24"/>
          <w:szCs w:val="24"/>
        </w:rPr>
        <w:t xml:space="preserve"> </w:t>
      </w:r>
      <w:r w:rsidRPr="004B7D68">
        <w:rPr>
          <w:sz w:val="24"/>
          <w:szCs w:val="24"/>
        </w:rPr>
        <w:t>% школьников обучались по федеральным государственным образовательным стандартам начального общего, основного общего и среднего общего образования. С 01.09.2023 года осуществлен переход на Федеральные образовательные программы общего образования.</w:t>
      </w:r>
    </w:p>
    <w:p w:rsidR="00FD2F9C" w:rsidRPr="004B7D68" w:rsidRDefault="00FD2F9C" w:rsidP="00FD2F9C">
      <w:pPr>
        <w:ind w:firstLineChars="253" w:firstLine="607"/>
        <w:jc w:val="both"/>
        <w:rPr>
          <w:sz w:val="24"/>
          <w:szCs w:val="24"/>
        </w:rPr>
      </w:pPr>
      <w:r w:rsidRPr="004B7D68">
        <w:rPr>
          <w:sz w:val="24"/>
          <w:szCs w:val="24"/>
        </w:rPr>
        <w:t xml:space="preserve">Организован подвоз 187 </w:t>
      </w:r>
      <w:proofErr w:type="gramStart"/>
      <w:r w:rsidRPr="004B7D68">
        <w:rPr>
          <w:sz w:val="24"/>
          <w:szCs w:val="24"/>
        </w:rPr>
        <w:t>обучающихся</w:t>
      </w:r>
      <w:proofErr w:type="gramEnd"/>
      <w:r w:rsidRPr="004B7D68">
        <w:rPr>
          <w:sz w:val="24"/>
          <w:szCs w:val="24"/>
        </w:rPr>
        <w:t xml:space="preserve"> МБОУ СОШ № 7 </w:t>
      </w:r>
      <w:proofErr w:type="spellStart"/>
      <w:r w:rsidRPr="004B7D68">
        <w:rPr>
          <w:sz w:val="24"/>
          <w:szCs w:val="24"/>
        </w:rPr>
        <w:t>нп</w:t>
      </w:r>
      <w:proofErr w:type="spellEnd"/>
      <w:r w:rsidRPr="004B7D68">
        <w:rPr>
          <w:sz w:val="24"/>
          <w:szCs w:val="24"/>
        </w:rPr>
        <w:t xml:space="preserve">. </w:t>
      </w:r>
      <w:proofErr w:type="spellStart"/>
      <w:r w:rsidRPr="004B7D68">
        <w:rPr>
          <w:sz w:val="24"/>
          <w:szCs w:val="24"/>
        </w:rPr>
        <w:t>Корзуново</w:t>
      </w:r>
      <w:proofErr w:type="spellEnd"/>
      <w:r w:rsidRPr="004B7D68">
        <w:rPr>
          <w:sz w:val="24"/>
          <w:szCs w:val="24"/>
        </w:rPr>
        <w:t xml:space="preserve"> и 389 обучающихся МБОУ СОШ № 5 </w:t>
      </w:r>
      <w:proofErr w:type="spellStart"/>
      <w:r w:rsidRPr="004B7D68">
        <w:rPr>
          <w:sz w:val="24"/>
          <w:szCs w:val="24"/>
        </w:rPr>
        <w:t>пгт</w:t>
      </w:r>
      <w:proofErr w:type="spellEnd"/>
      <w:r w:rsidRPr="004B7D68">
        <w:rPr>
          <w:sz w:val="24"/>
          <w:szCs w:val="24"/>
        </w:rPr>
        <w:t>. Печенга к месту учебы и обратно, а также для занятий в кружках и секциях. В 2023 году в рамках реализации стратегического плана «На Севере – жить»,  благодаря поддержке федерального правительства, МБОУ СОШ №№5,7 были переданы 4 новых школьных автобуса, что позволило полностью обновить школьный автопарк, а также ввести новый маршрут Спутник-</w:t>
      </w:r>
      <w:proofErr w:type="spellStart"/>
      <w:r w:rsidRPr="004B7D68">
        <w:rPr>
          <w:sz w:val="24"/>
          <w:szCs w:val="24"/>
        </w:rPr>
        <w:t>Лиинахамари</w:t>
      </w:r>
      <w:proofErr w:type="spellEnd"/>
      <w:r w:rsidRPr="004B7D68">
        <w:rPr>
          <w:sz w:val="24"/>
          <w:szCs w:val="24"/>
        </w:rPr>
        <w:t xml:space="preserve"> для подвоза 20 обучающихся в МБОУ СОШ №23. Все автобусы  соответствуют современным требованиям – оснащены </w:t>
      </w:r>
      <w:proofErr w:type="spellStart"/>
      <w:r w:rsidRPr="004B7D68">
        <w:rPr>
          <w:sz w:val="24"/>
          <w:szCs w:val="24"/>
        </w:rPr>
        <w:t>тахографами</w:t>
      </w:r>
      <w:proofErr w:type="spellEnd"/>
      <w:r w:rsidRPr="004B7D68">
        <w:rPr>
          <w:sz w:val="24"/>
          <w:szCs w:val="24"/>
        </w:rPr>
        <w:t>, спутниковой навигацией ГЛОНАСС, маячками желтого или оранжевого цветов.</w:t>
      </w:r>
    </w:p>
    <w:p w:rsidR="00FD2F9C" w:rsidRPr="00AD3FD7" w:rsidRDefault="00FD2F9C" w:rsidP="00FD2F9C">
      <w:pPr>
        <w:ind w:firstLine="709"/>
        <w:jc w:val="both"/>
        <w:rPr>
          <w:color w:val="FF0000"/>
        </w:rPr>
      </w:pPr>
      <w:r w:rsidRPr="004B7D68">
        <w:rPr>
          <w:color w:val="auto"/>
          <w:sz w:val="24"/>
          <w:szCs w:val="24"/>
        </w:rPr>
        <w:t xml:space="preserve">По итогам учебного года выросло количество учащихся успешно освоивших программы общего образования. Отмечается устойчивая тенденция повышения качества образования. </w:t>
      </w:r>
      <w:r w:rsidRPr="004B7D68">
        <w:rPr>
          <w:sz w:val="24"/>
          <w:szCs w:val="24"/>
        </w:rPr>
        <w:t>Аттестат с отличием и медаль «За особые успехи в учении» в 2023 году получили 12 обучающихся - МБОУ СОШ №№ 3 (2 человека), МБОУ СОШ № 5 (1 человек), МОУ СОШ № 11 (1 человек), МБОУ СОШ № 19 (8 человек).</w:t>
      </w:r>
    </w:p>
    <w:p w:rsidR="00FD2F9C" w:rsidRDefault="00FD2F9C" w:rsidP="00FD2F9C">
      <w:pPr>
        <w:pStyle w:val="Default"/>
        <w:ind w:firstLine="709"/>
        <w:jc w:val="both"/>
        <w:rPr>
          <w:color w:val="auto"/>
        </w:rPr>
      </w:pPr>
      <w:proofErr w:type="gramStart"/>
      <w:r w:rsidRPr="00D56D9B">
        <w:rPr>
          <w:color w:val="auto"/>
        </w:rPr>
        <w:t xml:space="preserve">Доля обучающихся в муниципальных общеобразовательных организациях </w:t>
      </w:r>
      <w:proofErr w:type="spellStart"/>
      <w:r w:rsidRPr="00D56D9B">
        <w:rPr>
          <w:color w:val="auto"/>
        </w:rPr>
        <w:t>Печенгского</w:t>
      </w:r>
      <w:proofErr w:type="spellEnd"/>
      <w:r w:rsidRPr="00D56D9B">
        <w:rPr>
          <w:color w:val="auto"/>
        </w:rPr>
        <w:t xml:space="preserve"> муниципального округа, занимающихся в одну смену, в общей численности обучающихся составила в 2023 году 89,9 %.  Прогнозное значение показателя в 2024 году также ожидается на уровне 90,2 %. </w:t>
      </w:r>
      <w:r w:rsidRPr="00D05D41">
        <w:rPr>
          <w:color w:val="auto"/>
        </w:rPr>
        <w:t>Численность обучающихся в две смены сократится после завершения строительства и ввода в эксплуатацию здания начальной школы (пристройки) МБОУ ООШ №5 на 250 мест, строительство которой начато в</w:t>
      </w:r>
      <w:proofErr w:type="gramEnd"/>
      <w:r w:rsidRPr="00D05D41">
        <w:rPr>
          <w:color w:val="auto"/>
        </w:rPr>
        <w:t xml:space="preserve"> 2023 году в </w:t>
      </w:r>
      <w:proofErr w:type="spellStart"/>
      <w:r w:rsidRPr="00D05D41">
        <w:rPr>
          <w:color w:val="auto"/>
        </w:rPr>
        <w:t>пгт</w:t>
      </w:r>
      <w:proofErr w:type="spellEnd"/>
      <w:r w:rsidRPr="00D05D41">
        <w:rPr>
          <w:color w:val="auto"/>
        </w:rPr>
        <w:t xml:space="preserve">. Печенга. </w:t>
      </w:r>
    </w:p>
    <w:p w:rsidR="00FD2F9C" w:rsidRPr="004B7D68" w:rsidRDefault="00FD2F9C" w:rsidP="00FD2F9C">
      <w:pPr>
        <w:pStyle w:val="Default"/>
        <w:ind w:firstLine="709"/>
        <w:jc w:val="both"/>
        <w:rPr>
          <w:color w:val="auto"/>
        </w:rPr>
      </w:pPr>
      <w:r w:rsidRPr="004B7D68">
        <w:t xml:space="preserve">Система общего образования </w:t>
      </w:r>
      <w:proofErr w:type="spellStart"/>
      <w:r w:rsidRPr="004B7D68">
        <w:t>Печенгского</w:t>
      </w:r>
      <w:proofErr w:type="spellEnd"/>
      <w:r w:rsidRPr="004B7D68">
        <w:t xml:space="preserve"> округа развивается в направлении обеспечения качества образования, совершенствования структуры и содержания всех уровней образования, технологии обучения и воспитания детей.</w:t>
      </w:r>
      <w:r>
        <w:t xml:space="preserve"> </w:t>
      </w:r>
    </w:p>
    <w:p w:rsidR="00FD2F9C" w:rsidRPr="000608B3" w:rsidRDefault="00FD2F9C" w:rsidP="00FD2F9C">
      <w:pPr>
        <w:pStyle w:val="Default"/>
        <w:ind w:firstLine="709"/>
        <w:jc w:val="both"/>
        <w:rPr>
          <w:color w:val="auto"/>
        </w:rPr>
      </w:pPr>
      <w:r w:rsidRPr="00D56D9B">
        <w:rPr>
          <w:color w:val="auto"/>
        </w:rPr>
        <w:t>В учреждении среднего профессионального образования (ГАПОУ МО «</w:t>
      </w:r>
      <w:proofErr w:type="spellStart"/>
      <w:r w:rsidRPr="000608B3">
        <w:rPr>
          <w:color w:val="auto"/>
        </w:rPr>
        <w:t>Печенгский</w:t>
      </w:r>
      <w:proofErr w:type="spellEnd"/>
      <w:r w:rsidRPr="000608B3">
        <w:rPr>
          <w:color w:val="auto"/>
        </w:rPr>
        <w:t xml:space="preserve"> политехнический техникум») контингент учащихся в 2023 году составил 228 человек, что меньше на 3,4 %, чем в 2022 году. </w:t>
      </w:r>
    </w:p>
    <w:p w:rsidR="00FD2F9C" w:rsidRDefault="00FD2F9C" w:rsidP="00FD2F9C">
      <w:pPr>
        <w:pStyle w:val="Default"/>
        <w:ind w:firstLine="709"/>
        <w:jc w:val="both"/>
        <w:rPr>
          <w:color w:val="auto"/>
        </w:rPr>
      </w:pPr>
      <w:r w:rsidRPr="000608B3">
        <w:rPr>
          <w:color w:val="auto"/>
        </w:rPr>
        <w:t xml:space="preserve">В связи с введением с 01.09.2023 года новых Федеральных государственных образовательных стандартов среднего профессионального образования изменятся сроки </w:t>
      </w:r>
      <w:r w:rsidRPr="000608B3">
        <w:rPr>
          <w:color w:val="auto"/>
        </w:rPr>
        <w:lastRenderedPageBreak/>
        <w:t xml:space="preserve">обучения на базе 9 классов (было 2 года 10 месяцев, станет 1 год 10 месяцев) произошло уменьшение контингента обучающихся. </w:t>
      </w:r>
      <w:r w:rsidRPr="00704596">
        <w:rPr>
          <w:color w:val="auto"/>
        </w:rPr>
        <w:t xml:space="preserve">Ожидается, что прогнозируемая численность </w:t>
      </w:r>
      <w:proofErr w:type="gramStart"/>
      <w:r w:rsidRPr="00704596">
        <w:rPr>
          <w:color w:val="auto"/>
        </w:rPr>
        <w:t>обучающихся</w:t>
      </w:r>
      <w:proofErr w:type="gramEnd"/>
      <w:r w:rsidRPr="00704596">
        <w:rPr>
          <w:color w:val="auto"/>
        </w:rPr>
        <w:t xml:space="preserve"> в 2024 году снизится на 11,4 % в сравнении с 2023 годом и составит 202 человека. </w:t>
      </w:r>
    </w:p>
    <w:p w:rsidR="00FD2F9C" w:rsidRDefault="00FD2F9C" w:rsidP="00FD2F9C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0608B3">
        <w:rPr>
          <w:color w:val="auto"/>
          <w:sz w:val="24"/>
          <w:szCs w:val="24"/>
        </w:rPr>
        <w:t>С 01.09.2023 года ГАПОУ МО «</w:t>
      </w:r>
      <w:proofErr w:type="spellStart"/>
      <w:r w:rsidRPr="000608B3">
        <w:rPr>
          <w:color w:val="auto"/>
          <w:sz w:val="24"/>
          <w:szCs w:val="24"/>
        </w:rPr>
        <w:t>Печенгский</w:t>
      </w:r>
      <w:proofErr w:type="spellEnd"/>
      <w:r w:rsidRPr="000608B3">
        <w:rPr>
          <w:color w:val="auto"/>
          <w:sz w:val="24"/>
          <w:szCs w:val="24"/>
        </w:rPr>
        <w:t xml:space="preserve"> политехнический техникум» принимает участие в качестве сетевой образовательной организации в реализации Федерального проекта «</w:t>
      </w:r>
      <w:proofErr w:type="spellStart"/>
      <w:r w:rsidRPr="000608B3">
        <w:rPr>
          <w:color w:val="auto"/>
          <w:sz w:val="24"/>
          <w:szCs w:val="24"/>
        </w:rPr>
        <w:t>Профессионалитет</w:t>
      </w:r>
      <w:proofErr w:type="spellEnd"/>
      <w:r w:rsidRPr="000608B3">
        <w:rPr>
          <w:color w:val="auto"/>
          <w:sz w:val="24"/>
          <w:szCs w:val="24"/>
        </w:rPr>
        <w:t xml:space="preserve">» в кластере образование на </w:t>
      </w:r>
      <w:proofErr w:type="spellStart"/>
      <w:r w:rsidRPr="000608B3">
        <w:rPr>
          <w:color w:val="auto"/>
          <w:sz w:val="24"/>
          <w:szCs w:val="24"/>
        </w:rPr>
        <w:t>Мурмане</w:t>
      </w:r>
      <w:proofErr w:type="spellEnd"/>
      <w:r w:rsidRPr="000608B3">
        <w:rPr>
          <w:color w:val="auto"/>
          <w:sz w:val="24"/>
          <w:szCs w:val="24"/>
        </w:rPr>
        <w:t xml:space="preserve">» (специальность «Дошкольное образование»). </w:t>
      </w:r>
    </w:p>
    <w:p w:rsidR="00FD2F9C" w:rsidRPr="000608B3" w:rsidRDefault="00FD2F9C" w:rsidP="00FD2F9C">
      <w:pPr>
        <w:ind w:firstLine="709"/>
        <w:jc w:val="both"/>
        <w:rPr>
          <w:b/>
          <w:bCs/>
          <w:color w:val="FF0000"/>
          <w:sz w:val="24"/>
          <w:szCs w:val="24"/>
        </w:rPr>
      </w:pPr>
      <w:proofErr w:type="gramStart"/>
      <w:r w:rsidRPr="000608B3">
        <w:rPr>
          <w:sz w:val="24"/>
          <w:szCs w:val="24"/>
        </w:rPr>
        <w:t>В 2024 году закончен</w:t>
      </w:r>
      <w:r w:rsidRPr="00FD0053">
        <w:rPr>
          <w:sz w:val="24"/>
          <w:szCs w:val="24"/>
        </w:rPr>
        <w:t xml:space="preserve"> ремонт в двух мастерских </w:t>
      </w:r>
      <w:r w:rsidRPr="000608B3">
        <w:rPr>
          <w:color w:val="auto"/>
          <w:sz w:val="24"/>
          <w:szCs w:val="24"/>
        </w:rPr>
        <w:t>ГАПОУ МО «</w:t>
      </w:r>
      <w:proofErr w:type="spellStart"/>
      <w:r w:rsidRPr="000608B3">
        <w:rPr>
          <w:color w:val="auto"/>
          <w:sz w:val="24"/>
          <w:szCs w:val="24"/>
        </w:rPr>
        <w:t>Печенгский</w:t>
      </w:r>
      <w:proofErr w:type="spellEnd"/>
      <w:r w:rsidRPr="000608B3">
        <w:rPr>
          <w:color w:val="auto"/>
          <w:sz w:val="24"/>
          <w:szCs w:val="24"/>
        </w:rPr>
        <w:t xml:space="preserve"> политехнический техникум» </w:t>
      </w:r>
      <w:r>
        <w:rPr>
          <w:color w:val="auto"/>
          <w:sz w:val="24"/>
          <w:szCs w:val="24"/>
        </w:rPr>
        <w:t>«</w:t>
      </w:r>
      <w:r>
        <w:rPr>
          <w:sz w:val="24"/>
          <w:szCs w:val="24"/>
        </w:rPr>
        <w:t>Электромонтаж»</w:t>
      </w:r>
      <w:r w:rsidRPr="00FD0053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FD0053">
        <w:rPr>
          <w:sz w:val="24"/>
          <w:szCs w:val="24"/>
        </w:rPr>
        <w:t>Обработка листового металла</w:t>
      </w:r>
      <w:r>
        <w:rPr>
          <w:sz w:val="24"/>
          <w:szCs w:val="24"/>
        </w:rPr>
        <w:t>», з</w:t>
      </w:r>
      <w:r w:rsidRPr="00FD0053">
        <w:rPr>
          <w:sz w:val="24"/>
          <w:szCs w:val="24"/>
        </w:rPr>
        <w:t xml:space="preserve">акуплено оборудование для указанных мастерских: гильотина, вальцовочный станок, </w:t>
      </w:r>
      <w:proofErr w:type="spellStart"/>
      <w:r w:rsidRPr="00FD0053">
        <w:rPr>
          <w:sz w:val="24"/>
          <w:szCs w:val="24"/>
        </w:rPr>
        <w:t>листогибный</w:t>
      </w:r>
      <w:proofErr w:type="spellEnd"/>
      <w:r w:rsidRPr="00FD0053">
        <w:rPr>
          <w:sz w:val="24"/>
          <w:szCs w:val="24"/>
        </w:rPr>
        <w:t xml:space="preserve"> станок, сверлильный станок, наждачный станок, сварочно-сборочные столы, индукционный нагреватель, паяльные станции, инс</w:t>
      </w:r>
      <w:r>
        <w:rPr>
          <w:sz w:val="24"/>
          <w:szCs w:val="24"/>
        </w:rPr>
        <w:t>т</w:t>
      </w:r>
      <w:r w:rsidRPr="00FD0053">
        <w:rPr>
          <w:sz w:val="24"/>
          <w:szCs w:val="24"/>
        </w:rPr>
        <w:t>рументальный шкаф, стеллажи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Проводятся</w:t>
      </w:r>
      <w:r w:rsidRPr="00FD0053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ремонту кабинетов «</w:t>
      </w:r>
      <w:r w:rsidRPr="00FD0053">
        <w:rPr>
          <w:sz w:val="24"/>
          <w:szCs w:val="24"/>
        </w:rPr>
        <w:t>Информационные технологии в профессиональной деятельности</w:t>
      </w:r>
      <w:r>
        <w:rPr>
          <w:sz w:val="24"/>
          <w:szCs w:val="24"/>
        </w:rPr>
        <w:t>»</w:t>
      </w:r>
      <w:r w:rsidRPr="00FD0053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Pr="00FD0053"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 w:rsidRPr="00FD0053">
        <w:rPr>
          <w:sz w:val="24"/>
          <w:szCs w:val="24"/>
        </w:rPr>
        <w:t>трооборудовани</w:t>
      </w:r>
      <w:r>
        <w:rPr>
          <w:sz w:val="24"/>
          <w:szCs w:val="24"/>
        </w:rPr>
        <w:t>е</w:t>
      </w:r>
      <w:r w:rsidRPr="00FD0053">
        <w:rPr>
          <w:sz w:val="24"/>
          <w:szCs w:val="24"/>
        </w:rPr>
        <w:t xml:space="preserve"> и электроснабжени</w:t>
      </w:r>
      <w:r>
        <w:rPr>
          <w:sz w:val="24"/>
          <w:szCs w:val="24"/>
        </w:rPr>
        <w:t>е»</w:t>
      </w:r>
      <w:r w:rsidRPr="00FD0053">
        <w:rPr>
          <w:sz w:val="24"/>
          <w:szCs w:val="24"/>
        </w:rPr>
        <w:t>,</w:t>
      </w:r>
      <w:r>
        <w:rPr>
          <w:sz w:val="24"/>
          <w:szCs w:val="24"/>
        </w:rPr>
        <w:t xml:space="preserve"> «Л</w:t>
      </w:r>
      <w:r w:rsidRPr="00FD0053">
        <w:rPr>
          <w:sz w:val="24"/>
          <w:szCs w:val="24"/>
        </w:rPr>
        <w:t>аборатории горных дисциплин</w:t>
      </w:r>
      <w:r>
        <w:rPr>
          <w:sz w:val="24"/>
          <w:szCs w:val="24"/>
        </w:rPr>
        <w:t xml:space="preserve">», мастерской по ремонту легковых автомобилей, </w:t>
      </w:r>
      <w:r w:rsidRPr="00FD0053">
        <w:rPr>
          <w:sz w:val="24"/>
          <w:szCs w:val="24"/>
        </w:rPr>
        <w:t>ремонт</w:t>
      </w:r>
      <w:r>
        <w:rPr>
          <w:sz w:val="24"/>
          <w:szCs w:val="24"/>
        </w:rPr>
        <w:t>у</w:t>
      </w:r>
      <w:r w:rsidRPr="00FD0053">
        <w:rPr>
          <w:sz w:val="24"/>
          <w:szCs w:val="24"/>
        </w:rPr>
        <w:t xml:space="preserve"> фасада</w:t>
      </w:r>
      <w:r>
        <w:rPr>
          <w:sz w:val="24"/>
          <w:szCs w:val="24"/>
        </w:rPr>
        <w:t xml:space="preserve"> учебного и производственного корпусов </w:t>
      </w:r>
      <w:r w:rsidRPr="000608B3">
        <w:rPr>
          <w:color w:val="auto"/>
          <w:sz w:val="24"/>
          <w:szCs w:val="24"/>
        </w:rPr>
        <w:t>ГАПОУ МО «</w:t>
      </w:r>
      <w:proofErr w:type="spellStart"/>
      <w:r w:rsidRPr="000608B3">
        <w:rPr>
          <w:color w:val="auto"/>
          <w:sz w:val="24"/>
          <w:szCs w:val="24"/>
        </w:rPr>
        <w:t>Печенгский</w:t>
      </w:r>
      <w:proofErr w:type="spellEnd"/>
      <w:r w:rsidRPr="000608B3">
        <w:rPr>
          <w:color w:val="auto"/>
          <w:sz w:val="24"/>
          <w:szCs w:val="24"/>
        </w:rPr>
        <w:t xml:space="preserve"> политехнический техникум»</w:t>
      </w:r>
      <w:r w:rsidRPr="00FD0053">
        <w:rPr>
          <w:sz w:val="24"/>
          <w:szCs w:val="24"/>
        </w:rPr>
        <w:t>,</w:t>
      </w:r>
      <w:r>
        <w:rPr>
          <w:sz w:val="24"/>
          <w:szCs w:val="24"/>
        </w:rPr>
        <w:t xml:space="preserve"> р</w:t>
      </w:r>
      <w:r w:rsidRPr="00FD0053">
        <w:rPr>
          <w:sz w:val="24"/>
          <w:szCs w:val="24"/>
        </w:rPr>
        <w:t>емонту комнат общежития</w:t>
      </w:r>
      <w:r>
        <w:rPr>
          <w:sz w:val="24"/>
          <w:szCs w:val="24"/>
        </w:rPr>
        <w:t xml:space="preserve"> техникума</w:t>
      </w:r>
      <w:r w:rsidRPr="00FD0053">
        <w:rPr>
          <w:sz w:val="24"/>
          <w:szCs w:val="24"/>
        </w:rPr>
        <w:t xml:space="preserve">. </w:t>
      </w:r>
      <w:r w:rsidRPr="00687D9B">
        <w:rPr>
          <w:color w:val="auto"/>
          <w:sz w:val="24"/>
          <w:szCs w:val="24"/>
        </w:rPr>
        <w:t xml:space="preserve">Продолжается работа по реализации </w:t>
      </w:r>
      <w:r>
        <w:rPr>
          <w:color w:val="auto"/>
          <w:sz w:val="24"/>
          <w:szCs w:val="24"/>
        </w:rPr>
        <w:t>С</w:t>
      </w:r>
      <w:r w:rsidRPr="00687D9B">
        <w:rPr>
          <w:color w:val="auto"/>
          <w:sz w:val="24"/>
          <w:szCs w:val="24"/>
        </w:rPr>
        <w:t xml:space="preserve">тратегии развития </w:t>
      </w:r>
      <w:proofErr w:type="spellStart"/>
      <w:r w:rsidRPr="00687D9B">
        <w:rPr>
          <w:color w:val="auto"/>
          <w:sz w:val="24"/>
          <w:szCs w:val="24"/>
        </w:rPr>
        <w:t>Печенгского</w:t>
      </w:r>
      <w:proofErr w:type="spellEnd"/>
      <w:r w:rsidRPr="00687D9B">
        <w:rPr>
          <w:color w:val="auto"/>
          <w:sz w:val="24"/>
          <w:szCs w:val="24"/>
        </w:rPr>
        <w:t xml:space="preserve"> политехнического техникума</w:t>
      </w:r>
      <w:r>
        <w:rPr>
          <w:color w:val="auto"/>
          <w:sz w:val="24"/>
          <w:szCs w:val="24"/>
        </w:rPr>
        <w:t xml:space="preserve"> на 2024-2033 годы</w:t>
      </w:r>
      <w:r w:rsidRPr="00687D9B">
        <w:rPr>
          <w:color w:val="auto"/>
          <w:sz w:val="24"/>
          <w:szCs w:val="24"/>
        </w:rPr>
        <w:t xml:space="preserve">. </w:t>
      </w:r>
    </w:p>
    <w:p w:rsidR="00FD2F9C" w:rsidRPr="0099480C" w:rsidRDefault="00FD2F9C" w:rsidP="00FD2F9C">
      <w:pPr>
        <w:pStyle w:val="Default"/>
        <w:ind w:firstLine="709"/>
        <w:jc w:val="both"/>
        <w:rPr>
          <w:color w:val="auto"/>
        </w:rPr>
      </w:pPr>
      <w:r w:rsidRPr="0099480C">
        <w:rPr>
          <w:color w:val="auto"/>
        </w:rPr>
        <w:t>Муниципальное бюджетное культурно-просветительное учреждение «</w:t>
      </w:r>
      <w:proofErr w:type="spellStart"/>
      <w:r w:rsidRPr="0099480C">
        <w:rPr>
          <w:color w:val="auto"/>
        </w:rPr>
        <w:t>Печенгское</w:t>
      </w:r>
      <w:proofErr w:type="spellEnd"/>
      <w:r w:rsidRPr="0099480C">
        <w:rPr>
          <w:color w:val="auto"/>
        </w:rPr>
        <w:t xml:space="preserve"> </w:t>
      </w:r>
      <w:proofErr w:type="spellStart"/>
      <w:r w:rsidRPr="0099480C">
        <w:rPr>
          <w:color w:val="auto"/>
        </w:rPr>
        <w:t>межпоселенческое</w:t>
      </w:r>
      <w:proofErr w:type="spellEnd"/>
      <w:r w:rsidRPr="0099480C">
        <w:rPr>
          <w:color w:val="auto"/>
        </w:rPr>
        <w:t xml:space="preserve"> библиотечное объединение» объединяет 10 библиотек. В 2023 году обеспеченность общедоступными библиотеками в расчете на 100 тыс. человек населения составила 33,2 единиц. В 2024 году данный показатель увеличится до 34,3 единиц (за счет сокращения численности населения). </w:t>
      </w:r>
    </w:p>
    <w:p w:rsidR="00FD2F9C" w:rsidRPr="00D05D41" w:rsidRDefault="00FD2F9C" w:rsidP="00FD2F9C">
      <w:pPr>
        <w:pStyle w:val="Default"/>
        <w:ind w:firstLine="709"/>
        <w:jc w:val="both"/>
        <w:rPr>
          <w:color w:val="auto"/>
        </w:rPr>
      </w:pPr>
      <w:r w:rsidRPr="00D05D41">
        <w:rPr>
          <w:color w:val="auto"/>
        </w:rPr>
        <w:t xml:space="preserve">Количество учреждений культурно-досугового типа в </w:t>
      </w:r>
      <w:proofErr w:type="spellStart"/>
      <w:r w:rsidRPr="00D05D41">
        <w:rPr>
          <w:color w:val="auto"/>
        </w:rPr>
        <w:t>Печенгском</w:t>
      </w:r>
      <w:proofErr w:type="spellEnd"/>
      <w:r w:rsidRPr="00D05D41">
        <w:rPr>
          <w:color w:val="auto"/>
        </w:rPr>
        <w:t xml:space="preserve"> муниципальном округе – 5 (МУК «ДК «Октябрь», МБУК «ДК Восход», МБУ «КДЦ «Платформа», сельский клуб в </w:t>
      </w:r>
      <w:proofErr w:type="spellStart"/>
      <w:r w:rsidRPr="00D05D41">
        <w:rPr>
          <w:color w:val="auto"/>
        </w:rPr>
        <w:t>нп</w:t>
      </w:r>
      <w:proofErr w:type="gramStart"/>
      <w:r w:rsidRPr="00D05D41">
        <w:rPr>
          <w:color w:val="auto"/>
        </w:rPr>
        <w:t>.Р</w:t>
      </w:r>
      <w:proofErr w:type="gramEnd"/>
      <w:r w:rsidRPr="00D05D41">
        <w:rPr>
          <w:color w:val="auto"/>
        </w:rPr>
        <w:t>аякоски</w:t>
      </w:r>
      <w:proofErr w:type="spellEnd"/>
      <w:r w:rsidRPr="00D05D41">
        <w:rPr>
          <w:color w:val="auto"/>
        </w:rPr>
        <w:t xml:space="preserve">, сельский клуб в </w:t>
      </w:r>
      <w:proofErr w:type="spellStart"/>
      <w:r w:rsidRPr="00D05D41">
        <w:rPr>
          <w:color w:val="auto"/>
        </w:rPr>
        <w:t>нп.Борисоглебский</w:t>
      </w:r>
      <w:proofErr w:type="spellEnd"/>
      <w:r w:rsidRPr="00D05D41">
        <w:rPr>
          <w:color w:val="auto"/>
        </w:rPr>
        <w:t>).</w:t>
      </w:r>
    </w:p>
    <w:p w:rsidR="00FD2F9C" w:rsidRPr="00242A96" w:rsidRDefault="00FD2F9C" w:rsidP="00FD2F9C">
      <w:pPr>
        <w:shd w:val="clear" w:color="auto" w:fill="FFFFFF"/>
        <w:spacing w:after="30"/>
        <w:ind w:firstLine="709"/>
        <w:jc w:val="both"/>
        <w:outlineLvl w:val="1"/>
        <w:rPr>
          <w:color w:val="auto"/>
          <w:sz w:val="24"/>
          <w:szCs w:val="24"/>
        </w:rPr>
      </w:pPr>
      <w:r w:rsidRPr="00242A96">
        <w:rPr>
          <w:color w:val="auto"/>
          <w:sz w:val="24"/>
          <w:szCs w:val="24"/>
        </w:rPr>
        <w:t xml:space="preserve">01.09.2023 года в </w:t>
      </w:r>
      <w:proofErr w:type="spellStart"/>
      <w:r w:rsidRPr="00242A96">
        <w:rPr>
          <w:color w:val="auto"/>
          <w:sz w:val="24"/>
          <w:szCs w:val="24"/>
        </w:rPr>
        <w:t>пгт</w:t>
      </w:r>
      <w:proofErr w:type="spellEnd"/>
      <w:r w:rsidRPr="00242A96">
        <w:rPr>
          <w:color w:val="auto"/>
          <w:sz w:val="24"/>
          <w:szCs w:val="24"/>
        </w:rPr>
        <w:t xml:space="preserve">. Никель состоялось открытие МБУ «ЦП и РМИ» - муниципального бюджетного учреждения «Центр поддержки и развития молодежных инициатив </w:t>
      </w:r>
      <w:proofErr w:type="spellStart"/>
      <w:r w:rsidRPr="00242A96">
        <w:rPr>
          <w:color w:val="auto"/>
          <w:sz w:val="24"/>
          <w:szCs w:val="24"/>
        </w:rPr>
        <w:t>Печенгского</w:t>
      </w:r>
      <w:proofErr w:type="spellEnd"/>
      <w:r w:rsidRPr="00242A96">
        <w:rPr>
          <w:color w:val="auto"/>
          <w:sz w:val="24"/>
          <w:szCs w:val="24"/>
        </w:rPr>
        <w:t xml:space="preserve"> муниципального округа», которое является учреждением, созданным для предоставления услуг по осуществлению мероприятий по работе с подростками и молодежью в </w:t>
      </w:r>
      <w:proofErr w:type="spellStart"/>
      <w:r w:rsidRPr="00242A96">
        <w:rPr>
          <w:color w:val="auto"/>
          <w:sz w:val="24"/>
          <w:szCs w:val="24"/>
        </w:rPr>
        <w:t>Печенгском</w:t>
      </w:r>
      <w:proofErr w:type="spellEnd"/>
      <w:r w:rsidRPr="00242A96">
        <w:rPr>
          <w:color w:val="auto"/>
          <w:sz w:val="24"/>
          <w:szCs w:val="24"/>
        </w:rPr>
        <w:t xml:space="preserve"> муниципальном округе. На сегодняшний день на базе учреждения функционируют 3 молодежных пространства «Сопки» в </w:t>
      </w:r>
      <w:proofErr w:type="spellStart"/>
      <w:r w:rsidRPr="00242A96">
        <w:rPr>
          <w:color w:val="auto"/>
          <w:sz w:val="24"/>
          <w:szCs w:val="24"/>
        </w:rPr>
        <w:t>пгт</w:t>
      </w:r>
      <w:proofErr w:type="spellEnd"/>
      <w:r w:rsidRPr="00242A96">
        <w:rPr>
          <w:color w:val="auto"/>
          <w:sz w:val="24"/>
          <w:szCs w:val="24"/>
        </w:rPr>
        <w:t xml:space="preserve">. Никель, г. Заполярный и </w:t>
      </w:r>
      <w:proofErr w:type="spellStart"/>
      <w:r w:rsidRPr="00242A96">
        <w:rPr>
          <w:color w:val="auto"/>
          <w:sz w:val="24"/>
          <w:szCs w:val="24"/>
        </w:rPr>
        <w:t>пгт</w:t>
      </w:r>
      <w:proofErr w:type="spellEnd"/>
      <w:r w:rsidRPr="00242A96">
        <w:rPr>
          <w:color w:val="auto"/>
          <w:sz w:val="24"/>
          <w:szCs w:val="24"/>
        </w:rPr>
        <w:t>. Печенга.</w:t>
      </w:r>
    </w:p>
    <w:p w:rsidR="00FD2F9C" w:rsidRPr="00DE34F1" w:rsidRDefault="00FD2F9C" w:rsidP="00FD2F9C">
      <w:pPr>
        <w:pStyle w:val="Default"/>
        <w:ind w:firstLine="709"/>
        <w:jc w:val="both"/>
        <w:rPr>
          <w:color w:val="auto"/>
        </w:rPr>
      </w:pPr>
      <w:r w:rsidRPr="00DE34F1">
        <w:rPr>
          <w:color w:val="auto"/>
        </w:rPr>
        <w:t xml:space="preserve">Показатель обеспеченности населения учреждениями культурно-досугового типа в 2023 году 16,6 единиц на 100 </w:t>
      </w:r>
      <w:proofErr w:type="spellStart"/>
      <w:r w:rsidRPr="00DE34F1">
        <w:rPr>
          <w:color w:val="auto"/>
        </w:rPr>
        <w:t>тыс</w:t>
      </w:r>
      <w:proofErr w:type="gramStart"/>
      <w:r w:rsidRPr="00DE34F1">
        <w:rPr>
          <w:color w:val="auto"/>
        </w:rPr>
        <w:t>.н</w:t>
      </w:r>
      <w:proofErr w:type="gramEnd"/>
      <w:r w:rsidRPr="00DE34F1">
        <w:rPr>
          <w:color w:val="auto"/>
        </w:rPr>
        <w:t>аселения</w:t>
      </w:r>
      <w:proofErr w:type="spellEnd"/>
      <w:r w:rsidRPr="00DE34F1">
        <w:rPr>
          <w:color w:val="auto"/>
        </w:rPr>
        <w:t xml:space="preserve"> (16,0 на 100 </w:t>
      </w:r>
      <w:proofErr w:type="spellStart"/>
      <w:r w:rsidRPr="00DE34F1">
        <w:rPr>
          <w:color w:val="auto"/>
        </w:rPr>
        <w:t>тыс.населения</w:t>
      </w:r>
      <w:proofErr w:type="spellEnd"/>
      <w:r w:rsidRPr="00DE34F1">
        <w:rPr>
          <w:color w:val="auto"/>
        </w:rPr>
        <w:t xml:space="preserve"> – в 2022 году). В 2024 году данный показатель прогнозируется за счет снижения численности населения на уровне 17,1 на 100 </w:t>
      </w:r>
      <w:proofErr w:type="spellStart"/>
      <w:r w:rsidRPr="00DE34F1">
        <w:rPr>
          <w:color w:val="auto"/>
        </w:rPr>
        <w:t>тыс</w:t>
      </w:r>
      <w:proofErr w:type="gramStart"/>
      <w:r w:rsidRPr="00DE34F1">
        <w:rPr>
          <w:color w:val="auto"/>
        </w:rPr>
        <w:t>.н</w:t>
      </w:r>
      <w:proofErr w:type="gramEnd"/>
      <w:r w:rsidRPr="00DE34F1">
        <w:rPr>
          <w:color w:val="auto"/>
        </w:rPr>
        <w:t>аселения</w:t>
      </w:r>
      <w:proofErr w:type="spellEnd"/>
      <w:r w:rsidRPr="00DE34F1">
        <w:rPr>
          <w:color w:val="auto"/>
        </w:rPr>
        <w:t xml:space="preserve">. </w:t>
      </w:r>
    </w:p>
    <w:p w:rsidR="00FD2F9C" w:rsidRPr="00DE34F1" w:rsidRDefault="00FD2F9C" w:rsidP="00FD2F9C">
      <w:pPr>
        <w:pStyle w:val="Default"/>
        <w:ind w:firstLine="709"/>
        <w:jc w:val="both"/>
        <w:rPr>
          <w:color w:val="auto"/>
        </w:rPr>
      </w:pPr>
      <w:r w:rsidRPr="00DE34F1">
        <w:rPr>
          <w:color w:val="auto"/>
        </w:rPr>
        <w:t xml:space="preserve">На территории </w:t>
      </w:r>
      <w:proofErr w:type="spellStart"/>
      <w:r w:rsidRPr="00DE34F1">
        <w:rPr>
          <w:color w:val="auto"/>
        </w:rPr>
        <w:t>Печенгского</w:t>
      </w:r>
      <w:proofErr w:type="spellEnd"/>
      <w:r w:rsidRPr="00DE34F1">
        <w:rPr>
          <w:color w:val="auto"/>
        </w:rPr>
        <w:t xml:space="preserve"> муниципального округа открыт для посетителей Историко-краеведческий музей </w:t>
      </w:r>
      <w:proofErr w:type="spellStart"/>
      <w:r w:rsidRPr="00DE34F1">
        <w:rPr>
          <w:color w:val="auto"/>
        </w:rPr>
        <w:t>Печенгского</w:t>
      </w:r>
      <w:proofErr w:type="spellEnd"/>
      <w:r w:rsidRPr="00DE34F1">
        <w:rPr>
          <w:color w:val="auto"/>
        </w:rPr>
        <w:t xml:space="preserve"> района. Осуществляют деятельность 3 музыкальные школы, 2 художественные, 2 дома детского творчества, детско-юношеская спортивная школа.</w:t>
      </w:r>
    </w:p>
    <w:p w:rsidR="00FD2F9C" w:rsidRPr="00000C6E" w:rsidRDefault="00FD2F9C" w:rsidP="00FD2F9C">
      <w:pPr>
        <w:pStyle w:val="Default"/>
        <w:ind w:firstLine="709"/>
        <w:jc w:val="both"/>
        <w:rPr>
          <w:color w:val="auto"/>
        </w:rPr>
      </w:pPr>
      <w:r w:rsidRPr="00DE34F1">
        <w:rPr>
          <w:color w:val="auto"/>
        </w:rPr>
        <w:t xml:space="preserve">В 2024 году доля систематически занимающихся физической культурой и спортом ожидается на уровне 67,1 % от численности жителей </w:t>
      </w:r>
      <w:proofErr w:type="spellStart"/>
      <w:r w:rsidRPr="00DE34F1">
        <w:rPr>
          <w:color w:val="auto"/>
        </w:rPr>
        <w:t>Печенгского</w:t>
      </w:r>
      <w:proofErr w:type="spellEnd"/>
      <w:r w:rsidRPr="00DE34F1">
        <w:rPr>
          <w:color w:val="auto"/>
        </w:rPr>
        <w:t xml:space="preserve"> муниципального округа в возрасте от 3-х до 79 лет включительно (65,6 % - в 2023 году). </w:t>
      </w:r>
      <w:r w:rsidRPr="00000C6E">
        <w:rPr>
          <w:color w:val="auto"/>
        </w:rPr>
        <w:t>Рост % занимающихся связан с улучшением материально-технической базы и модернизацией учреждений физической культуры и спорта, популяризацией здорового образа жизни, вовлечением молодежи в спортивные мероприятия, открытием новых спортивных пространств «</w:t>
      </w:r>
      <w:proofErr w:type="spellStart"/>
      <w:r w:rsidRPr="00000C6E">
        <w:rPr>
          <w:color w:val="auto"/>
        </w:rPr>
        <w:t>Сопки</w:t>
      </w:r>
      <w:proofErr w:type="gramStart"/>
      <w:r w:rsidRPr="00000C6E">
        <w:rPr>
          <w:color w:val="auto"/>
        </w:rPr>
        <w:t>.С</w:t>
      </w:r>
      <w:proofErr w:type="gramEnd"/>
      <w:r w:rsidRPr="00000C6E">
        <w:rPr>
          <w:color w:val="auto"/>
        </w:rPr>
        <w:t>ПОРТ</w:t>
      </w:r>
      <w:proofErr w:type="spellEnd"/>
      <w:r w:rsidRPr="00000C6E">
        <w:rPr>
          <w:color w:val="auto"/>
        </w:rPr>
        <w:t xml:space="preserve">» в </w:t>
      </w:r>
      <w:proofErr w:type="spellStart"/>
      <w:r w:rsidRPr="00000C6E">
        <w:rPr>
          <w:color w:val="auto"/>
        </w:rPr>
        <w:t>г.Заполярном</w:t>
      </w:r>
      <w:proofErr w:type="spellEnd"/>
      <w:r w:rsidRPr="00000C6E">
        <w:rPr>
          <w:color w:val="auto"/>
        </w:rPr>
        <w:t xml:space="preserve">, </w:t>
      </w:r>
      <w:proofErr w:type="spellStart"/>
      <w:r w:rsidRPr="00000C6E">
        <w:rPr>
          <w:color w:val="auto"/>
        </w:rPr>
        <w:t>пгт</w:t>
      </w:r>
      <w:proofErr w:type="spellEnd"/>
      <w:r w:rsidRPr="00000C6E">
        <w:rPr>
          <w:color w:val="auto"/>
        </w:rPr>
        <w:t xml:space="preserve">. Печенга, устройством </w:t>
      </w:r>
      <w:proofErr w:type="spellStart"/>
      <w:r w:rsidRPr="00000C6E">
        <w:rPr>
          <w:color w:val="auto"/>
        </w:rPr>
        <w:t>скейт</w:t>
      </w:r>
      <w:proofErr w:type="spellEnd"/>
      <w:r w:rsidRPr="00000C6E">
        <w:rPr>
          <w:color w:val="auto"/>
        </w:rPr>
        <w:t xml:space="preserve">-площадки в </w:t>
      </w:r>
      <w:proofErr w:type="spellStart"/>
      <w:r w:rsidRPr="00000C6E">
        <w:rPr>
          <w:color w:val="auto"/>
        </w:rPr>
        <w:t>нп</w:t>
      </w:r>
      <w:proofErr w:type="spellEnd"/>
      <w:r w:rsidRPr="00000C6E">
        <w:rPr>
          <w:color w:val="auto"/>
        </w:rPr>
        <w:t xml:space="preserve">. Спутник, футбольного поля в </w:t>
      </w:r>
      <w:proofErr w:type="spellStart"/>
      <w:r w:rsidRPr="00000C6E">
        <w:rPr>
          <w:color w:val="auto"/>
        </w:rPr>
        <w:t>нп</w:t>
      </w:r>
      <w:proofErr w:type="spellEnd"/>
      <w:r w:rsidRPr="00000C6E">
        <w:rPr>
          <w:color w:val="auto"/>
        </w:rPr>
        <w:t xml:space="preserve">. Спутник и </w:t>
      </w:r>
      <w:proofErr w:type="spellStart"/>
      <w:r w:rsidRPr="00000C6E">
        <w:rPr>
          <w:color w:val="auto"/>
        </w:rPr>
        <w:t>нп</w:t>
      </w:r>
      <w:proofErr w:type="spellEnd"/>
      <w:r w:rsidRPr="00000C6E">
        <w:rPr>
          <w:color w:val="auto"/>
        </w:rPr>
        <w:t xml:space="preserve">. </w:t>
      </w:r>
      <w:proofErr w:type="spellStart"/>
      <w:r w:rsidRPr="00000C6E">
        <w:rPr>
          <w:color w:val="auto"/>
        </w:rPr>
        <w:t>Корзуново</w:t>
      </w:r>
      <w:proofErr w:type="spellEnd"/>
      <w:r w:rsidRPr="00000C6E">
        <w:rPr>
          <w:color w:val="auto"/>
        </w:rPr>
        <w:t xml:space="preserve">, ремонтом футбольных полей при школах в </w:t>
      </w:r>
      <w:proofErr w:type="spellStart"/>
      <w:r w:rsidRPr="00000C6E">
        <w:rPr>
          <w:color w:val="auto"/>
        </w:rPr>
        <w:t>г</w:t>
      </w:r>
      <w:proofErr w:type="gramStart"/>
      <w:r w:rsidRPr="00000C6E">
        <w:rPr>
          <w:color w:val="auto"/>
        </w:rPr>
        <w:t>.З</w:t>
      </w:r>
      <w:proofErr w:type="gramEnd"/>
      <w:r w:rsidRPr="00000C6E">
        <w:rPr>
          <w:color w:val="auto"/>
        </w:rPr>
        <w:t>аполярный</w:t>
      </w:r>
      <w:proofErr w:type="spellEnd"/>
      <w:r w:rsidRPr="00000C6E">
        <w:rPr>
          <w:color w:val="auto"/>
        </w:rPr>
        <w:t xml:space="preserve"> и </w:t>
      </w:r>
      <w:proofErr w:type="spellStart"/>
      <w:r w:rsidRPr="00000C6E">
        <w:rPr>
          <w:color w:val="auto"/>
        </w:rPr>
        <w:t>пгт</w:t>
      </w:r>
      <w:proofErr w:type="spellEnd"/>
      <w:r w:rsidRPr="00000C6E">
        <w:rPr>
          <w:color w:val="auto"/>
        </w:rPr>
        <w:t xml:space="preserve">. Никель, устройством освещения лыжни для </w:t>
      </w:r>
      <w:r w:rsidRPr="00000C6E">
        <w:rPr>
          <w:color w:val="auto"/>
        </w:rPr>
        <w:lastRenderedPageBreak/>
        <w:t xml:space="preserve">школьников в </w:t>
      </w:r>
      <w:proofErr w:type="spellStart"/>
      <w:r w:rsidRPr="00000C6E">
        <w:rPr>
          <w:color w:val="auto"/>
        </w:rPr>
        <w:t>нп</w:t>
      </w:r>
      <w:proofErr w:type="gramStart"/>
      <w:r w:rsidRPr="00000C6E">
        <w:rPr>
          <w:color w:val="auto"/>
        </w:rPr>
        <w:t>.К</w:t>
      </w:r>
      <w:proofErr w:type="gramEnd"/>
      <w:r w:rsidRPr="00000C6E">
        <w:rPr>
          <w:color w:val="auto"/>
        </w:rPr>
        <w:t>орзуново</w:t>
      </w:r>
      <w:proofErr w:type="spellEnd"/>
      <w:r w:rsidRPr="00000C6E">
        <w:rPr>
          <w:color w:val="auto"/>
        </w:rPr>
        <w:t xml:space="preserve">, модернизацией хоккейного корта в </w:t>
      </w:r>
      <w:proofErr w:type="spellStart"/>
      <w:r w:rsidRPr="00000C6E">
        <w:rPr>
          <w:color w:val="auto"/>
        </w:rPr>
        <w:t>г.Заполярный</w:t>
      </w:r>
      <w:proofErr w:type="spellEnd"/>
      <w:r w:rsidRPr="00000C6E">
        <w:rPr>
          <w:color w:val="auto"/>
        </w:rPr>
        <w:t xml:space="preserve">, устройством крытого хоккейного корта в </w:t>
      </w:r>
      <w:proofErr w:type="spellStart"/>
      <w:r w:rsidRPr="00000C6E">
        <w:rPr>
          <w:color w:val="auto"/>
        </w:rPr>
        <w:t>пгт</w:t>
      </w:r>
      <w:proofErr w:type="spellEnd"/>
      <w:r w:rsidRPr="00000C6E">
        <w:rPr>
          <w:color w:val="auto"/>
        </w:rPr>
        <w:t>. Никель.</w:t>
      </w: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  <w:highlight w:val="yellow"/>
        </w:rPr>
      </w:pPr>
      <w:r w:rsidRPr="00C1707C">
        <w:rPr>
          <w:color w:val="auto"/>
        </w:rPr>
        <w:t>Общая площадь жилых помещений в 2023 году составила 783,6 тыс.м</w:t>
      </w:r>
      <w:proofErr w:type="gramStart"/>
      <w:r w:rsidRPr="00C1707C">
        <w:rPr>
          <w:color w:val="auto"/>
          <w:vertAlign w:val="superscript"/>
        </w:rPr>
        <w:t>2</w:t>
      </w:r>
      <w:proofErr w:type="gramEnd"/>
      <w:r w:rsidRPr="00C1707C">
        <w:rPr>
          <w:color w:val="auto"/>
        </w:rPr>
        <w:t>. Средняя обеспеченность населения площадью жилых квартир в 2023 году по официальной статистической информации составила 26,5 м</w:t>
      </w:r>
      <w:proofErr w:type="gramStart"/>
      <w:r w:rsidRPr="00C1707C">
        <w:rPr>
          <w:color w:val="auto"/>
          <w:vertAlign w:val="superscript"/>
        </w:rPr>
        <w:t>2</w:t>
      </w:r>
      <w:proofErr w:type="gramEnd"/>
      <w:r w:rsidRPr="00C1707C">
        <w:rPr>
          <w:color w:val="auto"/>
        </w:rPr>
        <w:t xml:space="preserve"> на человека (26,1 м</w:t>
      </w:r>
      <w:r w:rsidRPr="00C1707C">
        <w:rPr>
          <w:color w:val="auto"/>
          <w:vertAlign w:val="superscript"/>
        </w:rPr>
        <w:t xml:space="preserve">2 </w:t>
      </w:r>
      <w:r w:rsidRPr="00C1707C">
        <w:rPr>
          <w:color w:val="auto"/>
        </w:rPr>
        <w:t>на человека в 2022 году), за счет ввода в эксплуатацию 0,406 тыс. м</w:t>
      </w:r>
      <w:r w:rsidRPr="00C1707C">
        <w:rPr>
          <w:color w:val="auto"/>
          <w:vertAlign w:val="superscript"/>
        </w:rPr>
        <w:t>2</w:t>
      </w:r>
      <w:r w:rsidRPr="00C1707C">
        <w:rPr>
          <w:color w:val="auto"/>
        </w:rPr>
        <w:t xml:space="preserve"> жилой площади (включая индивидуальные жилые дома, построенные населением (с учётом построенных на земельных участках, предназначенных для ведения садоводства) за счёт собственных и привлечённых средств и введённых в эксплуатацию в установленном порядке). </w:t>
      </w:r>
    </w:p>
    <w:p w:rsidR="00FD2F9C" w:rsidRPr="009D7969" w:rsidRDefault="00FD2F9C" w:rsidP="00FD2F9C">
      <w:pPr>
        <w:pStyle w:val="Default"/>
        <w:ind w:firstLine="709"/>
        <w:jc w:val="both"/>
        <w:rPr>
          <w:color w:val="auto"/>
        </w:rPr>
      </w:pPr>
      <w:r w:rsidRPr="009D7969">
        <w:rPr>
          <w:color w:val="auto"/>
        </w:rPr>
        <w:t>В 2024 году ожидается ввод индивидуальных жилых домов общей площадью 1,109 тыс.м</w:t>
      </w:r>
      <w:proofErr w:type="gramStart"/>
      <w:r w:rsidRPr="009D7969">
        <w:rPr>
          <w:color w:val="auto"/>
          <w:vertAlign w:val="superscript"/>
        </w:rPr>
        <w:t>2</w:t>
      </w:r>
      <w:proofErr w:type="gramEnd"/>
      <w:r w:rsidRPr="009D7969">
        <w:rPr>
          <w:color w:val="auto"/>
        </w:rPr>
        <w:t>. Обеспеченность населения площадью жилых квартир к концу 2024 года составит 27,3 м</w:t>
      </w:r>
      <w:proofErr w:type="gramStart"/>
      <w:r w:rsidRPr="009D7969">
        <w:rPr>
          <w:color w:val="auto"/>
          <w:vertAlign w:val="superscript"/>
        </w:rPr>
        <w:t>2</w:t>
      </w:r>
      <w:proofErr w:type="gramEnd"/>
      <w:r w:rsidRPr="009D7969">
        <w:rPr>
          <w:color w:val="auto"/>
        </w:rPr>
        <w:t xml:space="preserve"> на человека. </w:t>
      </w:r>
    </w:p>
    <w:p w:rsidR="00FD2F9C" w:rsidRDefault="00FD2F9C" w:rsidP="00FD2F9C">
      <w:pPr>
        <w:pStyle w:val="Default"/>
        <w:ind w:firstLine="709"/>
        <w:jc w:val="both"/>
        <w:rPr>
          <w:color w:val="auto"/>
        </w:rPr>
      </w:pPr>
      <w:r w:rsidRPr="009D7969">
        <w:rPr>
          <w:color w:val="auto"/>
        </w:rPr>
        <w:t xml:space="preserve">На конец 2023 года площадь ветхого и аварийного жилья в % к общей площади жилого фонда </w:t>
      </w:r>
      <w:proofErr w:type="spellStart"/>
      <w:r w:rsidRPr="009D7969">
        <w:rPr>
          <w:color w:val="auto"/>
        </w:rPr>
        <w:t>Печенгского</w:t>
      </w:r>
      <w:proofErr w:type="spellEnd"/>
      <w:r w:rsidRPr="009D7969">
        <w:rPr>
          <w:color w:val="auto"/>
        </w:rPr>
        <w:t xml:space="preserve"> муниципального округа составляла 0,6 %. </w:t>
      </w:r>
      <w:r w:rsidRPr="00576324">
        <w:rPr>
          <w:color w:val="auto"/>
        </w:rPr>
        <w:t xml:space="preserve">Ожидается, что площадь жилого фонда, признанного ветхим и аварийным в 2024 </w:t>
      </w:r>
      <w:r w:rsidRPr="00D00315">
        <w:rPr>
          <w:color w:val="auto"/>
        </w:rPr>
        <w:t xml:space="preserve">году после сноса  жилых домов в </w:t>
      </w:r>
      <w:proofErr w:type="spellStart"/>
      <w:r w:rsidRPr="00D00315">
        <w:rPr>
          <w:color w:val="auto"/>
        </w:rPr>
        <w:t>пгт</w:t>
      </w:r>
      <w:proofErr w:type="gramStart"/>
      <w:r w:rsidRPr="00D00315">
        <w:rPr>
          <w:color w:val="auto"/>
        </w:rPr>
        <w:t>.Н</w:t>
      </w:r>
      <w:proofErr w:type="gramEnd"/>
      <w:r w:rsidRPr="00D00315">
        <w:rPr>
          <w:color w:val="auto"/>
        </w:rPr>
        <w:t>икель</w:t>
      </w:r>
      <w:proofErr w:type="spellEnd"/>
      <w:r w:rsidRPr="00D00315">
        <w:rPr>
          <w:color w:val="auto"/>
        </w:rPr>
        <w:t xml:space="preserve">, ул. 14 Армии, </w:t>
      </w:r>
      <w:proofErr w:type="spellStart"/>
      <w:r w:rsidRPr="00D00315">
        <w:rPr>
          <w:color w:val="auto"/>
        </w:rPr>
        <w:t>дд</w:t>
      </w:r>
      <w:proofErr w:type="spellEnd"/>
      <w:r w:rsidRPr="00D00315">
        <w:rPr>
          <w:color w:val="auto"/>
        </w:rPr>
        <w:t xml:space="preserve">. 3,5, ул. Советская, д. 17 </w:t>
      </w:r>
      <w:r>
        <w:rPr>
          <w:color w:val="auto"/>
        </w:rPr>
        <w:t xml:space="preserve">общей жилой площадью </w:t>
      </w:r>
      <w:r w:rsidRPr="00D00315">
        <w:rPr>
          <w:color w:val="auto"/>
        </w:rPr>
        <w:t>составит 3,18 тыс.м</w:t>
      </w:r>
      <w:r w:rsidRPr="00D00315">
        <w:rPr>
          <w:color w:val="auto"/>
          <w:vertAlign w:val="superscript"/>
        </w:rPr>
        <w:t>2</w:t>
      </w:r>
      <w:r w:rsidRPr="00D00315">
        <w:rPr>
          <w:color w:val="auto"/>
        </w:rPr>
        <w:t xml:space="preserve"> (признанный аварийным жилой дом в </w:t>
      </w:r>
      <w:proofErr w:type="spellStart"/>
      <w:r w:rsidRPr="00D00315">
        <w:rPr>
          <w:color w:val="auto"/>
        </w:rPr>
        <w:t>нп</w:t>
      </w:r>
      <w:proofErr w:type="spellEnd"/>
      <w:r w:rsidRPr="00D00315">
        <w:rPr>
          <w:color w:val="auto"/>
        </w:rPr>
        <w:t xml:space="preserve">. </w:t>
      </w:r>
      <w:proofErr w:type="gramStart"/>
      <w:r w:rsidRPr="00D00315">
        <w:rPr>
          <w:color w:val="auto"/>
        </w:rPr>
        <w:t>Приречный</w:t>
      </w:r>
      <w:proofErr w:type="gramEnd"/>
      <w:r w:rsidRPr="00D00315">
        <w:rPr>
          <w:color w:val="auto"/>
        </w:rPr>
        <w:t xml:space="preserve">, ул. Горняков, д. </w:t>
      </w:r>
      <w:r w:rsidRPr="00576324">
        <w:rPr>
          <w:color w:val="auto"/>
        </w:rPr>
        <w:t xml:space="preserve">6), что составит 0,4 % к общей площади жилого фонда. </w:t>
      </w:r>
    </w:p>
    <w:p w:rsidR="00FD2F9C" w:rsidRPr="0095773A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r w:rsidRPr="0095773A">
        <w:rPr>
          <w:sz w:val="24"/>
          <w:szCs w:val="24"/>
        </w:rPr>
        <w:t xml:space="preserve">Протяженность автодорог общего пользования местного значения в </w:t>
      </w:r>
      <w:proofErr w:type="spellStart"/>
      <w:r w:rsidRPr="0095773A">
        <w:rPr>
          <w:sz w:val="24"/>
          <w:szCs w:val="24"/>
        </w:rPr>
        <w:t>Печенгском</w:t>
      </w:r>
      <w:proofErr w:type="spellEnd"/>
      <w:r w:rsidRPr="0095773A">
        <w:rPr>
          <w:sz w:val="24"/>
          <w:szCs w:val="24"/>
        </w:rPr>
        <w:t xml:space="preserve"> муниципальном округе в 2023 году составила 74,7 км. В текущем году протяженность дорог общего пользования увеличилась до 76,4 км.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color w:val="FF0000"/>
          <w:sz w:val="24"/>
          <w:szCs w:val="24"/>
          <w:highlight w:val="yellow"/>
        </w:rPr>
      </w:pPr>
      <w:r w:rsidRPr="00556745">
        <w:rPr>
          <w:color w:val="auto"/>
          <w:sz w:val="24"/>
          <w:szCs w:val="24"/>
        </w:rPr>
        <w:t xml:space="preserve">Фактический уровень платежей населения за жилье и коммунальные услуги в 2023 </w:t>
      </w:r>
      <w:r w:rsidRPr="006E1292">
        <w:rPr>
          <w:color w:val="auto"/>
          <w:sz w:val="24"/>
          <w:szCs w:val="24"/>
        </w:rPr>
        <w:t>году увеличился по сравнению с 2022 годом с 88,1 % до 90,8 %</w:t>
      </w:r>
      <w:r>
        <w:rPr>
          <w:color w:val="auto"/>
          <w:sz w:val="24"/>
          <w:szCs w:val="24"/>
        </w:rPr>
        <w:t xml:space="preserve"> (по данным, предоставленным администрации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</w:t>
      </w:r>
      <w:proofErr w:type="spellStart"/>
      <w:r>
        <w:rPr>
          <w:color w:val="auto"/>
          <w:sz w:val="24"/>
          <w:szCs w:val="24"/>
        </w:rPr>
        <w:t>ресурсоснабжающими</w:t>
      </w:r>
      <w:proofErr w:type="spellEnd"/>
      <w:r>
        <w:rPr>
          <w:color w:val="auto"/>
          <w:sz w:val="24"/>
          <w:szCs w:val="24"/>
        </w:rPr>
        <w:t xml:space="preserve"> и управляющими компаниями)</w:t>
      </w:r>
      <w:r w:rsidRPr="006E1292">
        <w:rPr>
          <w:color w:val="auto"/>
          <w:sz w:val="24"/>
          <w:szCs w:val="24"/>
        </w:rPr>
        <w:t>. К концу 2024 года фактический уровень платежей населения за жилье и коммунальные услуги ожидается на уровне 92,0%.</w:t>
      </w:r>
    </w:p>
    <w:p w:rsidR="00FD2F9C" w:rsidRPr="00685947" w:rsidRDefault="00FD2F9C" w:rsidP="00FD2F9C">
      <w:pPr>
        <w:jc w:val="center"/>
        <w:rPr>
          <w:b/>
          <w:color w:val="auto"/>
          <w:sz w:val="24"/>
          <w:szCs w:val="24"/>
        </w:rPr>
      </w:pPr>
      <w:r w:rsidRPr="00685947">
        <w:rPr>
          <w:b/>
          <w:color w:val="auto"/>
          <w:sz w:val="24"/>
          <w:szCs w:val="24"/>
        </w:rPr>
        <w:t>9. Доходы бюджета</w:t>
      </w:r>
    </w:p>
    <w:p w:rsidR="00FD2F9C" w:rsidRPr="00E20891" w:rsidRDefault="00FD2F9C" w:rsidP="00FD2F9C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Доходная часть бюджета </w:t>
      </w:r>
      <w:proofErr w:type="spellStart"/>
      <w:r w:rsidRPr="002F57C0">
        <w:rPr>
          <w:color w:val="auto"/>
        </w:rPr>
        <w:t>Печенгского</w:t>
      </w:r>
      <w:proofErr w:type="spellEnd"/>
      <w:r w:rsidRPr="002F57C0">
        <w:rPr>
          <w:color w:val="auto"/>
        </w:rPr>
        <w:t xml:space="preserve"> муниципального округа (далее – бюджет округа) за 2023 год исполнена в сумме 3 194 061,4 тыс. рублей (2022 год – 3 373 105,6 тыс. рублей), что составляет 98,9 % плановых показателей 3 373 105,6 тыс. рублей. 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Поступления налоговых и неналоговых доходов составили 1 138 030,2 тыс. рублей, что составляет 105,9 % от поступлений 2022 года. 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>Поступление налога на доходы физических лиц в целом в бюджет округа в 2023 году составило 763 261,8 тыс. рублей. Относительно 2022 года поступления увеличились на 10,2 %.  Рост поступлений по налогу на доходы физических лиц обусловлен ростом фонда оплаты труда, увеличением поступлений налога на доходы физических лиц в части суммы налога, превышающей 650,0 тыс. рублей, относящейся к части налоговой базы, превышающей 5 млн. рублей.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Поступление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в 2023 году составило 3 282,0 тыс. рублей. </w:t>
      </w:r>
      <w:proofErr w:type="gramStart"/>
      <w:r w:rsidRPr="002F57C0">
        <w:rPr>
          <w:color w:val="auto"/>
        </w:rPr>
        <w:t>Относительно 2022 года поступления увеличились на 21 %. Рост поступлений налога на доходы физических лиц, зачисляемого в бюджет округа, связан с увеличением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Федерации.</w:t>
      </w:r>
      <w:proofErr w:type="gramEnd"/>
    </w:p>
    <w:p w:rsidR="00FD2F9C" w:rsidRPr="002F57C0" w:rsidRDefault="00FD2F9C" w:rsidP="00FD2F9C">
      <w:pPr>
        <w:pStyle w:val="Default"/>
        <w:ind w:firstLine="709"/>
        <w:jc w:val="both"/>
        <w:rPr>
          <w:color w:val="FF0000"/>
        </w:rPr>
      </w:pPr>
      <w:r w:rsidRPr="002F57C0">
        <w:rPr>
          <w:color w:val="FF0000"/>
        </w:rPr>
        <w:lastRenderedPageBreak/>
        <w:t xml:space="preserve"> </w:t>
      </w:r>
      <w:r w:rsidRPr="002F57C0">
        <w:rPr>
          <w:color w:val="auto"/>
        </w:rPr>
        <w:t>Доходы, получаемые в виде арендной либо иной платы за передачу в возмездное пользование государственного и муниципального имущества, поступили в сумме 161 203,7 тыс. рублей, что составляет 103,3 % от поступлений 2022 года. Увеличение поступлений данного вида доходов связано с погашением арендаторами задолженности за предыдущие периоды.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Налоги на совокупный доход (упрощенная система налогообложения (далее – УСН), патентная система) в 2023 году в бюджет округа поступили в сумме 126 179,1 тыс. рублей, что составляет 106,5 % от поступлений в 2022 году. Увеличение поступлений связано с ростом налогооблагаемой базы за счет </w:t>
      </w:r>
      <w:proofErr w:type="gramStart"/>
      <w:r w:rsidRPr="002F57C0">
        <w:rPr>
          <w:color w:val="auto"/>
        </w:rPr>
        <w:t>интернет-продаж</w:t>
      </w:r>
      <w:proofErr w:type="gramEnd"/>
      <w:r w:rsidRPr="002F57C0">
        <w:rPr>
          <w:color w:val="auto"/>
        </w:rPr>
        <w:t xml:space="preserve"> на </w:t>
      </w:r>
      <w:proofErr w:type="spellStart"/>
      <w:r w:rsidRPr="002F57C0">
        <w:rPr>
          <w:color w:val="auto"/>
        </w:rPr>
        <w:t>маркетплейсах</w:t>
      </w:r>
      <w:proofErr w:type="spellEnd"/>
      <w:r w:rsidRPr="002F57C0">
        <w:rPr>
          <w:color w:val="auto"/>
        </w:rPr>
        <w:t xml:space="preserve">. 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По итогам 1 полугодия 2024 года поступление доходов в бюджет округа составило 1 730 107,5 тыс. рублей, что составляет 47,0 % к плановым показателям на год. Поступления увеличились на 22,4 % к аналогичному периоду 2023 года. 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>Налоговые и неналоговые доходы за январь-июнь 2024 года составили 595 816,8 тыс. рублей. Поступления увеличились на 13,8 % к аналогичному периоду 2023 года.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Налог на доходы физических лиц за январь-июнь 2024 года поступил в сумме 331 152,9 тыс. рублей. </w:t>
      </w:r>
      <w:proofErr w:type="gramStart"/>
      <w:r w:rsidRPr="002F57C0">
        <w:rPr>
          <w:color w:val="auto"/>
        </w:rPr>
        <w:t>Относительно аналогичного периода 2023 года поступления увеличились на 4,4 %. Рост поступлений  обусловлен увеличением МРОТ с 01.01.2024 года, повышением заработной платы работникам органов местного самоуправления и муниципальных учреждений, которые не попадают под действие указов Президента Российской Федерации с 01.10.2023 года и с 01.01.2024 года, а также увеличением оплаты труда работников бюджетной сферы в соответствии с указами Президента Российской Федерации.</w:t>
      </w:r>
      <w:proofErr w:type="gramEnd"/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Налог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за период январь-июнь 2024 года в бюджет округа поступил в сумме 1 036,5 тыс. рублей. Относительно аналогичного периода 2023 года поступления выросли в 3,86 раза. </w:t>
      </w:r>
      <w:proofErr w:type="gramStart"/>
      <w:r w:rsidRPr="002F57C0">
        <w:rPr>
          <w:color w:val="auto"/>
        </w:rPr>
        <w:t>Увеличение поступлений налога на доходы физических лиц связано с ростом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практикой; с увеличением доходов, полученных физическими лицами, от продажи недвижимого имущества; с увеличением численности иностранных граждан, осуществляющих трудовую деятельность по найму.</w:t>
      </w:r>
      <w:proofErr w:type="gramEnd"/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>Поступления доходов, получаемых в виде арендной либо иной платы за передачу в возмездное пользование государственного и муниципального имущества, за январь-июнь 2024 года составили 113 611,1 тыс. рублей.  Относительно аналогичного периода 2023 года поступления увеличились на 43,3 %. Причина роста поступлений – оплата дебиторской задолженности за 2023 год крупнейшими должникам</w:t>
      </w:r>
      <w:proofErr w:type="gramStart"/>
      <w:r w:rsidRPr="002F57C0">
        <w:rPr>
          <w:color w:val="auto"/>
        </w:rPr>
        <w:t>и ООО</w:t>
      </w:r>
      <w:proofErr w:type="gramEnd"/>
      <w:r w:rsidRPr="002F57C0">
        <w:rPr>
          <w:color w:val="auto"/>
        </w:rPr>
        <w:t xml:space="preserve"> «Русские башни», АО «Первая башенная компания».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Налоги на совокупный доход (УСН, патентная система) за январь-июнь 2024 года поступили в бюджет округа в сумме 109 746,2 тыс. рублей, что на 18,2 % больше, чем в аналогичном периоде 2023 года. Рост поступлений в 2024 году обусловлен поступлением налога, взимаемого в связи с применением УСН. Увеличение поступлений связано с  ростом налогооблагаемой базы за счет </w:t>
      </w:r>
      <w:proofErr w:type="gramStart"/>
      <w:r w:rsidRPr="002F57C0">
        <w:rPr>
          <w:color w:val="auto"/>
        </w:rPr>
        <w:t>интернет-продаж</w:t>
      </w:r>
      <w:proofErr w:type="gramEnd"/>
      <w:r w:rsidRPr="002F57C0">
        <w:rPr>
          <w:color w:val="auto"/>
        </w:rPr>
        <w:t xml:space="preserve"> на </w:t>
      </w:r>
      <w:proofErr w:type="spellStart"/>
      <w:r w:rsidRPr="002F57C0">
        <w:rPr>
          <w:color w:val="auto"/>
        </w:rPr>
        <w:t>маркетплейсах</w:t>
      </w:r>
      <w:proofErr w:type="spellEnd"/>
      <w:r w:rsidRPr="002F57C0">
        <w:rPr>
          <w:color w:val="auto"/>
        </w:rPr>
        <w:t>.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По оценке в 2024 году поступление налоговых и неналоговых доходов в бюджет округа ожидается в сумме 1 176 805,5 тыс. рублей (103,4 % от поступлений 2023 года). </w:t>
      </w:r>
    </w:p>
    <w:p w:rsidR="00FD2F9C" w:rsidRPr="002F57C0" w:rsidRDefault="00FD2F9C" w:rsidP="00FD2F9C">
      <w:pPr>
        <w:tabs>
          <w:tab w:val="left" w:pos="-3686"/>
        </w:tabs>
        <w:ind w:firstLine="709"/>
        <w:jc w:val="both"/>
        <w:rPr>
          <w:color w:val="auto"/>
          <w:sz w:val="24"/>
          <w:szCs w:val="24"/>
        </w:rPr>
      </w:pPr>
      <w:r w:rsidRPr="002F57C0">
        <w:rPr>
          <w:color w:val="auto"/>
          <w:sz w:val="24"/>
          <w:szCs w:val="24"/>
        </w:rPr>
        <w:t xml:space="preserve">Ожидаемое общее поступление налога на доходы физических лиц в 2023 году прогнозируется в сумме 774 047,0 тыс. рублей (101,4 % к поступлению 2023 года). В том числе, поступления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Федерации, в 2024 году прогнозируются в сумме 4 004,0 тыс. рублей (122 %  к поступлению 2023 года). </w:t>
      </w:r>
      <w:proofErr w:type="gramStart"/>
      <w:r w:rsidRPr="002F57C0">
        <w:rPr>
          <w:color w:val="auto"/>
          <w:sz w:val="24"/>
          <w:szCs w:val="24"/>
        </w:rPr>
        <w:t xml:space="preserve">Несмотря увеличение МРОТ с 01.01.2024 года на </w:t>
      </w:r>
      <w:r w:rsidRPr="002F57C0">
        <w:rPr>
          <w:color w:val="auto"/>
          <w:sz w:val="24"/>
          <w:szCs w:val="24"/>
        </w:rPr>
        <w:lastRenderedPageBreak/>
        <w:t>18,5%, индексацию заработной платы муниципальной бюджетной сферы, которые не попадают под действие указов Президента Российской Федерации с 01.10.2023 года на 5,5 % и с 01.01.2024 года на 7,9 %, а также увеличением оплаты труда работников бюджетной сферы в соответствии с указами Президента Российской Федерации, рост налога на доходы физических лиц с доходов, источником которых является</w:t>
      </w:r>
      <w:proofErr w:type="gramEnd"/>
      <w:r w:rsidRPr="002F57C0">
        <w:rPr>
          <w:color w:val="auto"/>
          <w:sz w:val="24"/>
          <w:szCs w:val="24"/>
        </w:rPr>
        <w:t xml:space="preserve"> налоговый агент, ожидается лишь на 1,4%. Причина незначительного прироста  - снижение поступлений налога по ведущим отраслям экономической деятельности: военная безопасность, строительство (ООО «</w:t>
      </w:r>
      <w:proofErr w:type="spellStart"/>
      <w:r w:rsidRPr="002F57C0">
        <w:rPr>
          <w:color w:val="auto"/>
          <w:sz w:val="24"/>
          <w:szCs w:val="24"/>
        </w:rPr>
        <w:t>Печенгастрой</w:t>
      </w:r>
      <w:proofErr w:type="spellEnd"/>
      <w:r w:rsidRPr="002F57C0">
        <w:rPr>
          <w:color w:val="auto"/>
          <w:sz w:val="24"/>
          <w:szCs w:val="24"/>
        </w:rPr>
        <w:t>»).</w:t>
      </w:r>
    </w:p>
    <w:p w:rsidR="00FD2F9C" w:rsidRPr="002F57C0" w:rsidRDefault="00FD2F9C" w:rsidP="00FD2F9C">
      <w:pPr>
        <w:pStyle w:val="Default"/>
        <w:ind w:firstLine="709"/>
        <w:jc w:val="both"/>
        <w:rPr>
          <w:color w:val="auto"/>
        </w:rPr>
      </w:pPr>
      <w:r w:rsidRPr="002F57C0">
        <w:rPr>
          <w:color w:val="auto"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имущества, в 2024 году ожидаются в сумме 162 052,5 тыс. рублей (100,5 % от поступлений 2023 года). </w:t>
      </w:r>
    </w:p>
    <w:p w:rsidR="00FD2F9C" w:rsidRPr="00573159" w:rsidRDefault="00FD2F9C" w:rsidP="00FD2F9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2F57C0">
        <w:rPr>
          <w:color w:val="auto"/>
        </w:rPr>
        <w:t xml:space="preserve">Поступление налогов на совокупный доход ожидается в сумме 151 857,2 тыс. рублей (120,4 % к поступлению 2023 года), в том числе по налогу, взимаемому в связи с применением УСН, 150 434,8 тыс. рублей (119 % к поступлению 2023 года) – рост налогооблагаемой базы прогнозируется за счет </w:t>
      </w:r>
      <w:proofErr w:type="gramStart"/>
      <w:r w:rsidRPr="002F57C0">
        <w:rPr>
          <w:color w:val="auto"/>
        </w:rPr>
        <w:t>интернет-продаж</w:t>
      </w:r>
      <w:proofErr w:type="gramEnd"/>
      <w:r w:rsidRPr="002F57C0">
        <w:rPr>
          <w:color w:val="auto"/>
        </w:rPr>
        <w:t xml:space="preserve"> на </w:t>
      </w:r>
      <w:proofErr w:type="spellStart"/>
      <w:r w:rsidRPr="002F57C0">
        <w:rPr>
          <w:color w:val="auto"/>
        </w:rPr>
        <w:t>маркетплейсах</w:t>
      </w:r>
      <w:proofErr w:type="spellEnd"/>
      <w:r w:rsidRPr="002F57C0">
        <w:rPr>
          <w:color w:val="auto"/>
        </w:rPr>
        <w:t>; по налогу, взимаемому в связи с применением патентной системы налогообложения, 1 394,6 тыс. рублей (рост в 3,86 раза к поступлению 2023 года) – ро</w:t>
      </w:r>
      <w:proofErr w:type="gramStart"/>
      <w:r w:rsidRPr="002F57C0">
        <w:rPr>
          <w:color w:val="auto"/>
        </w:rPr>
        <w:t>ст в св</w:t>
      </w:r>
      <w:proofErr w:type="gramEnd"/>
      <w:r w:rsidRPr="002F57C0">
        <w:rPr>
          <w:color w:val="auto"/>
        </w:rPr>
        <w:t>язи с переносом срока уплаты налога  на 09.01.2024 года согласно п. 7 ст. 6.1 Налогового кодекса РФ.</w:t>
      </w: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Default="00FD2F9C" w:rsidP="00FD2F9C">
      <w:pPr>
        <w:ind w:left="5670"/>
        <w:jc w:val="right"/>
        <w:rPr>
          <w:color w:val="auto"/>
          <w:sz w:val="22"/>
          <w:szCs w:val="22"/>
        </w:rPr>
      </w:pPr>
    </w:p>
    <w:p w:rsidR="00FD2F9C" w:rsidRPr="00685947" w:rsidRDefault="00FD2F9C" w:rsidP="00FD2F9C">
      <w:pPr>
        <w:ind w:left="5670"/>
        <w:jc w:val="right"/>
        <w:rPr>
          <w:color w:val="auto"/>
          <w:sz w:val="22"/>
          <w:szCs w:val="22"/>
        </w:rPr>
      </w:pPr>
      <w:r w:rsidRPr="00685947">
        <w:rPr>
          <w:color w:val="auto"/>
          <w:sz w:val="22"/>
          <w:szCs w:val="22"/>
        </w:rPr>
        <w:lastRenderedPageBreak/>
        <w:t>Приложение № 2</w:t>
      </w:r>
    </w:p>
    <w:p w:rsidR="00FD2F9C" w:rsidRPr="00685947" w:rsidRDefault="00FD2F9C" w:rsidP="00FD2F9C">
      <w:pPr>
        <w:ind w:left="5245"/>
        <w:jc w:val="right"/>
        <w:rPr>
          <w:color w:val="auto"/>
          <w:sz w:val="22"/>
          <w:szCs w:val="22"/>
        </w:rPr>
      </w:pPr>
      <w:r w:rsidRPr="00685947">
        <w:rPr>
          <w:color w:val="auto"/>
          <w:sz w:val="22"/>
          <w:szCs w:val="22"/>
        </w:rPr>
        <w:t xml:space="preserve">к прогнозу социально-экономического развития </w:t>
      </w:r>
      <w:proofErr w:type="spellStart"/>
      <w:r w:rsidRPr="00685947">
        <w:rPr>
          <w:color w:val="auto"/>
          <w:sz w:val="22"/>
          <w:szCs w:val="22"/>
        </w:rPr>
        <w:t>Печенгского</w:t>
      </w:r>
      <w:proofErr w:type="spellEnd"/>
      <w:r w:rsidRPr="00685947">
        <w:rPr>
          <w:color w:val="auto"/>
          <w:sz w:val="22"/>
          <w:szCs w:val="22"/>
        </w:rPr>
        <w:t xml:space="preserve"> муниципального округа на 2025 год и на плановый период 2026 и 2027 годов</w:t>
      </w:r>
    </w:p>
    <w:p w:rsidR="00FD2F9C" w:rsidRPr="00AD3FD7" w:rsidRDefault="00FD2F9C" w:rsidP="00FD2F9C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  <w:sz w:val="26"/>
          <w:szCs w:val="26"/>
          <w:highlight w:val="yellow"/>
          <w:lang w:eastAsia="en-US"/>
        </w:rPr>
      </w:pPr>
    </w:p>
    <w:p w:rsidR="00FD2F9C" w:rsidRPr="00AD3FD7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highlight w:val="yellow"/>
          <w:lang w:eastAsia="en-US"/>
        </w:rPr>
      </w:pPr>
    </w:p>
    <w:p w:rsidR="00FD2F9C" w:rsidRPr="00685947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685947">
        <w:rPr>
          <w:rFonts w:eastAsiaTheme="minorHAnsi"/>
          <w:b/>
          <w:bCs/>
          <w:color w:val="auto"/>
          <w:sz w:val="24"/>
          <w:szCs w:val="24"/>
          <w:lang w:eastAsia="en-US"/>
        </w:rPr>
        <w:t>ПОЯСНИТЕЛЬНАЯ ЗАПИСКА</w:t>
      </w:r>
    </w:p>
    <w:p w:rsidR="00FD2F9C" w:rsidRPr="00685947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685947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к прогнозу социально-экономического развития </w:t>
      </w:r>
      <w:proofErr w:type="spellStart"/>
      <w:r w:rsidRPr="00685947">
        <w:rPr>
          <w:rFonts w:eastAsiaTheme="minorHAnsi"/>
          <w:b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685947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муниципального округа на 2025 год и на плановый период 2026 и 2027 годов</w:t>
      </w:r>
    </w:p>
    <w:p w:rsidR="00FD2F9C" w:rsidRPr="00685947" w:rsidRDefault="00FD2F9C" w:rsidP="00FD2F9C">
      <w:pPr>
        <w:tabs>
          <w:tab w:val="left" w:pos="-3686"/>
        </w:tabs>
        <w:ind w:firstLine="709"/>
        <w:jc w:val="center"/>
        <w:rPr>
          <w:rFonts w:eastAsiaTheme="minorHAnsi"/>
          <w:bCs/>
          <w:color w:val="auto"/>
          <w:sz w:val="26"/>
          <w:szCs w:val="26"/>
          <w:highlight w:val="yellow"/>
          <w:lang w:eastAsia="en-US"/>
        </w:rPr>
      </w:pPr>
    </w:p>
    <w:p w:rsidR="00FD2F9C" w:rsidRPr="00556745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56745">
        <w:rPr>
          <w:rFonts w:eastAsiaTheme="minorHAnsi"/>
          <w:color w:val="auto"/>
          <w:sz w:val="24"/>
          <w:szCs w:val="24"/>
          <w:lang w:eastAsia="en-US"/>
        </w:rPr>
        <w:t xml:space="preserve">Прогноз социально-экономического развития </w:t>
      </w:r>
      <w:proofErr w:type="spellStart"/>
      <w:r w:rsidRPr="00556745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556745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2025 год и на плановый период 2026 и 2027 годов разработан в двух вариантах: базовом и консервативном, на основе отдельных положений сценарных условий социально-экономического развития Российской Федерации и Мурманской области, а также данных, представленных участниками разработки предварительного прогноза. </w:t>
      </w:r>
    </w:p>
    <w:p w:rsidR="00FD2F9C" w:rsidRPr="00556745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56745">
        <w:rPr>
          <w:rFonts w:eastAsiaTheme="minorHAnsi"/>
          <w:color w:val="auto"/>
          <w:sz w:val="24"/>
          <w:szCs w:val="24"/>
          <w:lang w:eastAsia="en-US"/>
        </w:rPr>
        <w:t xml:space="preserve">При разработке основных параметров прогноза использованы отчетные данные, предоставленные ТОФСГС Мурманской области, материалы организаций и территориальных подразделений исполнительных органов государственной власти. </w:t>
      </w:r>
    </w:p>
    <w:p w:rsidR="00FD2F9C" w:rsidRPr="00556745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56745">
        <w:rPr>
          <w:rFonts w:eastAsiaTheme="minorHAnsi"/>
          <w:color w:val="auto"/>
          <w:sz w:val="24"/>
          <w:szCs w:val="24"/>
          <w:lang w:eastAsia="en-US"/>
        </w:rPr>
        <w:t xml:space="preserve">В пояснительной записке к прогнозу социально-экономического развития </w:t>
      </w:r>
      <w:proofErr w:type="spellStart"/>
      <w:r w:rsidRPr="00556745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556745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2025 год и на плановый период 2026 и 2027 годов представлено описание основных параметров социально-экономического развития </w:t>
      </w:r>
      <w:proofErr w:type="spellStart"/>
      <w:r w:rsidRPr="00556745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556745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по базовому варианту.</w:t>
      </w:r>
    </w:p>
    <w:p w:rsidR="00FD2F9C" w:rsidRPr="00556745" w:rsidRDefault="00FD2F9C" w:rsidP="00FD2F9C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36552F">
        <w:rPr>
          <w:rFonts w:eastAsiaTheme="minorHAnsi"/>
          <w:color w:val="auto"/>
          <w:sz w:val="24"/>
          <w:szCs w:val="24"/>
          <w:lang w:eastAsia="en-US"/>
        </w:rPr>
        <w:t xml:space="preserve">Базовый вариант предусматривает </w:t>
      </w:r>
      <w:r w:rsidRPr="0036552F">
        <w:rPr>
          <w:color w:val="auto"/>
          <w:sz w:val="24"/>
          <w:szCs w:val="24"/>
        </w:rPr>
        <w:t>умеренные траектории развития экономики с учетом дальнейшей адаптации экономики к текущей геополитической обстановке.</w:t>
      </w: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4"/>
          <w:szCs w:val="24"/>
        </w:rPr>
      </w:pPr>
    </w:p>
    <w:p w:rsidR="00FD2F9C" w:rsidRPr="00685947" w:rsidRDefault="00FD2F9C" w:rsidP="00FD2F9C">
      <w:pPr>
        <w:ind w:left="360"/>
        <w:jc w:val="center"/>
        <w:rPr>
          <w:b/>
          <w:color w:val="auto"/>
          <w:sz w:val="24"/>
          <w:szCs w:val="24"/>
        </w:rPr>
      </w:pPr>
      <w:r w:rsidRPr="00685947">
        <w:rPr>
          <w:b/>
          <w:color w:val="auto"/>
          <w:sz w:val="24"/>
          <w:szCs w:val="24"/>
        </w:rPr>
        <w:t>1. Демографические показатели</w:t>
      </w:r>
    </w:p>
    <w:p w:rsidR="00FD2F9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E0CE7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демографические показатели по </w:t>
      </w:r>
      <w:proofErr w:type="spellStart"/>
      <w:r w:rsidRPr="00FE0CE7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FE0CE7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будут находиться под влиянием изменения возрастной структуры населения, миграционной убыли населения. Сокращение численност</w:t>
      </w:r>
      <w:r>
        <w:rPr>
          <w:rFonts w:eastAsiaTheme="minorHAnsi"/>
          <w:color w:val="auto"/>
          <w:sz w:val="24"/>
          <w:szCs w:val="24"/>
          <w:lang w:eastAsia="en-US"/>
        </w:rPr>
        <w:t>и населения округа продолжится.</w:t>
      </w:r>
    </w:p>
    <w:p w:rsidR="00FD2F9C" w:rsidRPr="00FE0CE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негативного тренда естественного движения населения будут являться федеральные и региональные меры поддержки семей с детьми, развитие здравоохранения, </w:t>
      </w:r>
      <w:r>
        <w:rPr>
          <w:sz w:val="24"/>
          <w:szCs w:val="24"/>
        </w:rPr>
        <w:t xml:space="preserve">а также </w:t>
      </w:r>
      <w:r w:rsidRPr="00FE0CE7">
        <w:rPr>
          <w:sz w:val="24"/>
          <w:szCs w:val="24"/>
        </w:rPr>
        <w:t>мер</w:t>
      </w:r>
      <w:r>
        <w:rPr>
          <w:sz w:val="24"/>
          <w:szCs w:val="24"/>
        </w:rPr>
        <w:t>ы</w:t>
      </w:r>
      <w:r w:rsidRPr="00FE0CE7">
        <w:rPr>
          <w:sz w:val="24"/>
          <w:szCs w:val="24"/>
        </w:rPr>
        <w:t>, принимаемы</w:t>
      </w:r>
      <w:r>
        <w:rPr>
          <w:sz w:val="24"/>
          <w:szCs w:val="24"/>
        </w:rPr>
        <w:t>е</w:t>
      </w:r>
      <w:r w:rsidRPr="00FE0CE7">
        <w:rPr>
          <w:sz w:val="24"/>
          <w:szCs w:val="24"/>
        </w:rPr>
        <w:t xml:space="preserve"> в целях улучшения демографической обстановки, в том числе в рамках мероприятий муниципальных программ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FD2F9C" w:rsidRPr="00FE0CE7" w:rsidRDefault="00FD2F9C" w:rsidP="00FD2F9C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E0CE7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ожидается сдержанная динамика общей рождаемости – с постепенным увеличением до 9,0 </w:t>
      </w:r>
      <w:proofErr w:type="gramStart"/>
      <w:r w:rsidRPr="00FE0CE7">
        <w:rPr>
          <w:rFonts w:eastAsiaTheme="minorHAnsi"/>
          <w:color w:val="auto"/>
          <w:sz w:val="24"/>
          <w:szCs w:val="24"/>
          <w:lang w:eastAsia="en-US"/>
        </w:rPr>
        <w:t>родившихся</w:t>
      </w:r>
      <w:proofErr w:type="gramEnd"/>
      <w:r w:rsidRPr="00FE0CE7">
        <w:rPr>
          <w:rFonts w:eastAsiaTheme="minorHAnsi"/>
          <w:color w:val="auto"/>
          <w:sz w:val="24"/>
          <w:szCs w:val="24"/>
          <w:lang w:eastAsia="en-US"/>
        </w:rPr>
        <w:t xml:space="preserve"> на 1 000 населения к 2027 году (8,7 в 2023 году).</w:t>
      </w:r>
      <w:r w:rsidRPr="00AD3FD7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FE0CE7">
        <w:rPr>
          <w:color w:val="auto"/>
          <w:sz w:val="24"/>
          <w:szCs w:val="24"/>
        </w:rPr>
        <w:t xml:space="preserve">В среднесрочной перспективе ожидается влияние </w:t>
      </w:r>
      <w:r w:rsidRPr="00FE0CE7">
        <w:rPr>
          <w:color w:val="auto"/>
          <w:sz w:val="24"/>
          <w:szCs w:val="24"/>
        </w:rPr>
        <w:br/>
        <w:t xml:space="preserve">на уровень рождаемости реализации комплекса мер, принимаемых </w:t>
      </w:r>
      <w:r w:rsidRPr="00FE0CE7">
        <w:rPr>
          <w:color w:val="auto"/>
          <w:sz w:val="24"/>
          <w:szCs w:val="24"/>
        </w:rPr>
        <w:br/>
        <w:t xml:space="preserve">на региональном (адресные выплаты, льготная ипотека и т.д.) и федеральном уровнях (реализация и совершенствование программы материнского (семейного) капитала). </w:t>
      </w:r>
      <w:r w:rsidRPr="00FE0CE7">
        <w:rPr>
          <w:rFonts w:eastAsiaTheme="minorHAnsi"/>
          <w:color w:val="auto"/>
          <w:sz w:val="24"/>
          <w:szCs w:val="24"/>
          <w:lang w:eastAsia="en-US"/>
        </w:rPr>
        <w:t xml:space="preserve">На улучшение демографической ситуации в округе и развитие человеческого потенциала направлены также муниципальные программы </w:t>
      </w:r>
      <w:proofErr w:type="spellStart"/>
      <w:r w:rsidRPr="00FE0CE7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FE0CE7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сфере образования, социальной поддержки, культуры, физической культуры и спорта, в рамках которых обеспечивается поддержка молодых и многодетных семей, защита социально уязвимых категорий граждан, повышение уровня благоустройства городской среды и прочее. На увеличение общего индекса рождаемости влияет также сокращение численности населения округа.</w:t>
      </w:r>
    </w:p>
    <w:p w:rsidR="00FD2F9C" w:rsidRPr="00FE0CE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highlight w:val="yellow"/>
          <w:lang w:eastAsia="en-US"/>
        </w:rPr>
      </w:pPr>
      <w:r w:rsidRPr="00FE0CE7">
        <w:rPr>
          <w:color w:val="auto"/>
          <w:sz w:val="24"/>
          <w:szCs w:val="24"/>
        </w:rPr>
        <w:t xml:space="preserve">Прорабатываемые новации в сфере профилактики заболеваний, популяризации здорового образа жизни и повышения качества оказания медицинской помощи будут стимулировать последующее снижение уровня смертности практически по всем </w:t>
      </w:r>
      <w:r w:rsidRPr="00FE0CE7">
        <w:rPr>
          <w:color w:val="auto"/>
          <w:sz w:val="24"/>
          <w:szCs w:val="24"/>
        </w:rPr>
        <w:lastRenderedPageBreak/>
        <w:t xml:space="preserve">возрастным группам. Однако процесс старения населения будет тормозящим фактором положительной динамики. В итоге в 2025 - 2027 годах коэффициент смертности будет постепенно снижаться до 10,1 умерших на 1 000 населения </w:t>
      </w:r>
      <w:r w:rsidRPr="00FE0CE7">
        <w:rPr>
          <w:rFonts w:eastAsiaTheme="minorHAnsi"/>
          <w:color w:val="auto"/>
          <w:sz w:val="24"/>
          <w:szCs w:val="24"/>
          <w:lang w:eastAsia="en-US"/>
        </w:rPr>
        <w:t>(12,4 в 2023 году)</w:t>
      </w:r>
      <w:r w:rsidRPr="00FE0CE7">
        <w:rPr>
          <w:color w:val="auto"/>
          <w:sz w:val="24"/>
          <w:szCs w:val="24"/>
        </w:rPr>
        <w:t>.</w:t>
      </w:r>
    </w:p>
    <w:p w:rsidR="00FD2F9C" w:rsidRPr="00995E83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95E83">
        <w:rPr>
          <w:rFonts w:eastAsiaTheme="minorHAnsi"/>
          <w:color w:val="auto"/>
          <w:sz w:val="24"/>
          <w:szCs w:val="24"/>
          <w:lang w:eastAsia="en-US"/>
        </w:rPr>
        <w:t>Ожидается, что естественная убыль населения в 2025 году составит 1,8 человека на 1 000 населения со снижением к 2027 году до 1,1 человек.</w:t>
      </w:r>
    </w:p>
    <w:p w:rsidR="00FD2F9C" w:rsidRPr="00995E83" w:rsidRDefault="00FD2F9C" w:rsidP="00FD2F9C">
      <w:pPr>
        <w:ind w:firstLine="709"/>
        <w:jc w:val="both"/>
        <w:rPr>
          <w:color w:val="auto"/>
          <w:sz w:val="24"/>
          <w:szCs w:val="24"/>
          <w:highlight w:val="yellow"/>
        </w:rPr>
      </w:pPr>
      <w:r w:rsidRPr="00995E83">
        <w:rPr>
          <w:rFonts w:eastAsiaTheme="minorHAnsi"/>
          <w:color w:val="auto"/>
          <w:sz w:val="24"/>
          <w:szCs w:val="24"/>
          <w:lang w:eastAsia="en-US"/>
        </w:rPr>
        <w:t xml:space="preserve">Ожидаемый уровень миграционной убыли населения </w:t>
      </w:r>
      <w:r w:rsidRPr="00995E83">
        <w:rPr>
          <w:color w:val="auto"/>
          <w:sz w:val="24"/>
          <w:szCs w:val="24"/>
        </w:rPr>
        <w:t xml:space="preserve">сохранит тенденцию снижения и к концу </w:t>
      </w:r>
      <w:r w:rsidRPr="00995E83">
        <w:rPr>
          <w:rFonts w:eastAsiaTheme="minorHAnsi"/>
          <w:color w:val="auto"/>
          <w:sz w:val="24"/>
          <w:szCs w:val="24"/>
          <w:lang w:eastAsia="en-US"/>
        </w:rPr>
        <w:t>2027 года составит -28,0 человек на 1 000 населения (-28,1 в 2023 году).</w:t>
      </w:r>
    </w:p>
    <w:p w:rsidR="00FD2F9C" w:rsidRPr="00995E83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95E83">
        <w:rPr>
          <w:rFonts w:eastAsiaTheme="minorHAnsi"/>
          <w:color w:val="auto"/>
          <w:sz w:val="24"/>
          <w:szCs w:val="24"/>
          <w:lang w:eastAsia="en-US"/>
        </w:rPr>
        <w:t xml:space="preserve">В итоге среднегодовая численность населения в прогнозный период снизится по сравнению с 2023 годом на 3,5 тыс. человек (11,5 %), и составит в 2027 году 26,6 тыс. человек. </w:t>
      </w: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AE3F35" w:rsidRDefault="00FD2F9C" w:rsidP="00FD2F9C">
      <w:pPr>
        <w:ind w:left="360"/>
        <w:jc w:val="center"/>
        <w:rPr>
          <w:b/>
          <w:color w:val="auto"/>
          <w:sz w:val="24"/>
          <w:szCs w:val="24"/>
        </w:rPr>
      </w:pPr>
      <w:r w:rsidRPr="00AE3F35">
        <w:rPr>
          <w:b/>
          <w:bCs/>
          <w:color w:val="auto"/>
          <w:sz w:val="24"/>
          <w:szCs w:val="24"/>
        </w:rPr>
        <w:t>2.  Производство товаров и услуг</w:t>
      </w:r>
    </w:p>
    <w:p w:rsidR="00FD2F9C" w:rsidRPr="00AD3FD7" w:rsidRDefault="00FD2F9C" w:rsidP="00FD2F9C">
      <w:pPr>
        <w:jc w:val="center"/>
        <w:rPr>
          <w:b/>
          <w:color w:val="FF0000"/>
          <w:sz w:val="24"/>
          <w:szCs w:val="24"/>
        </w:rPr>
      </w:pPr>
    </w:p>
    <w:p w:rsidR="00FD2F9C" w:rsidRPr="00B25E5C" w:rsidRDefault="00FD2F9C" w:rsidP="00FD2F9C">
      <w:pPr>
        <w:jc w:val="center"/>
        <w:rPr>
          <w:b/>
          <w:color w:val="auto"/>
          <w:sz w:val="24"/>
          <w:szCs w:val="24"/>
        </w:rPr>
      </w:pPr>
      <w:r w:rsidRPr="00B25E5C">
        <w:rPr>
          <w:b/>
          <w:color w:val="auto"/>
          <w:sz w:val="24"/>
          <w:szCs w:val="24"/>
        </w:rPr>
        <w:t>2.1. Промышленное производство</w:t>
      </w: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2B668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668E">
        <w:rPr>
          <w:rFonts w:eastAsiaTheme="minorHAnsi"/>
          <w:color w:val="auto"/>
          <w:sz w:val="24"/>
          <w:szCs w:val="24"/>
          <w:lang w:eastAsia="en-US"/>
        </w:rPr>
        <w:t xml:space="preserve">На показатели производства в прогнозируемом периоде будут влиять структурные изменения, меры по оптимизации деятельности предприятий. </w:t>
      </w:r>
    </w:p>
    <w:p w:rsidR="00FD2F9C" w:rsidRPr="002B668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668E">
        <w:rPr>
          <w:rFonts w:eastAsiaTheme="minorHAnsi"/>
          <w:color w:val="auto"/>
          <w:sz w:val="24"/>
          <w:szCs w:val="24"/>
          <w:lang w:eastAsia="en-US"/>
        </w:rPr>
        <w:t>Ожидается, что в 202</w:t>
      </w:r>
      <w:r w:rsidRPr="007C26BE">
        <w:rPr>
          <w:rFonts w:eastAsiaTheme="minorHAnsi"/>
          <w:color w:val="auto"/>
          <w:sz w:val="24"/>
          <w:szCs w:val="24"/>
          <w:lang w:eastAsia="en-US"/>
        </w:rPr>
        <w:t>7</w:t>
      </w:r>
      <w:r w:rsidRPr="002B668E">
        <w:rPr>
          <w:rFonts w:eastAsiaTheme="minorHAnsi"/>
          <w:color w:val="auto"/>
          <w:sz w:val="24"/>
          <w:szCs w:val="24"/>
          <w:lang w:eastAsia="en-US"/>
        </w:rPr>
        <w:t xml:space="preserve"> году: </w:t>
      </w:r>
    </w:p>
    <w:p w:rsidR="00FD2F9C" w:rsidRPr="007C26B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- объем промышленного производства по крупным и средним предприятиям </w:t>
      </w:r>
      <w:proofErr w:type="spellStart"/>
      <w:r w:rsidRPr="007C26B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составит 52 316,1 млн. рублей (121,1 % к 2023 году);</w:t>
      </w:r>
    </w:p>
    <w:p w:rsidR="00FD2F9C" w:rsidRPr="007C26B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-  объем отгруженных товаров собственного производства, выполненных работ и услуг по виду деятельности «Добыча полезных ископаемых» составит 43 847,3 млн. рублей; </w:t>
      </w:r>
    </w:p>
    <w:p w:rsidR="00FD2F9C" w:rsidRPr="007C26B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«Обрабатывающее производство» составит 4 474,7 млн. рублей; </w:t>
      </w:r>
    </w:p>
    <w:p w:rsidR="00FD2F9C" w:rsidRPr="007C26B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«Обеспечение электрической энергией, газом и паром; кондиционирование воздуха» составит 3 738,3 млн. рублей; </w:t>
      </w:r>
    </w:p>
    <w:p w:rsidR="00FD2F9C" w:rsidRPr="007C26BE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«Водоснабжение; водоотведение, организация сбора и утилизация отходов» составит 255,8 млн. рублей. </w:t>
      </w:r>
    </w:p>
    <w:p w:rsidR="00FD2F9C" w:rsidRPr="007C26BE" w:rsidRDefault="00FD2F9C" w:rsidP="00FD2F9C">
      <w:pPr>
        <w:ind w:firstLine="709"/>
        <w:jc w:val="both"/>
        <w:rPr>
          <w:color w:val="auto"/>
          <w:sz w:val="24"/>
          <w:szCs w:val="24"/>
        </w:rPr>
      </w:pPr>
      <w:r w:rsidRPr="007C26BE">
        <w:rPr>
          <w:color w:val="auto"/>
          <w:sz w:val="24"/>
          <w:szCs w:val="24"/>
        </w:rPr>
        <w:t xml:space="preserve">На объемы промышленного производства существенное влияние будет оказывать степень </w:t>
      </w:r>
      <w:proofErr w:type="spellStart"/>
      <w:r w:rsidRPr="007C26BE">
        <w:rPr>
          <w:color w:val="auto"/>
          <w:sz w:val="24"/>
          <w:szCs w:val="24"/>
        </w:rPr>
        <w:t>санкционного</w:t>
      </w:r>
      <w:proofErr w:type="spellEnd"/>
      <w:r w:rsidRPr="007C26BE">
        <w:rPr>
          <w:color w:val="auto"/>
          <w:sz w:val="24"/>
          <w:szCs w:val="24"/>
        </w:rPr>
        <w:t xml:space="preserve"> давления со стороны зарубежных государств, динамика внутреннего спроса на основные виды продукции.</w:t>
      </w:r>
    </w:p>
    <w:p w:rsidR="00FD2F9C" w:rsidRPr="007C26BE" w:rsidRDefault="00FD2F9C" w:rsidP="00FD2F9C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C26BE">
        <w:rPr>
          <w:color w:val="auto"/>
          <w:sz w:val="24"/>
          <w:szCs w:val="24"/>
        </w:rPr>
        <w:t xml:space="preserve">В связи с тем, что основным потребителем </w:t>
      </w:r>
      <w:proofErr w:type="spellStart"/>
      <w:r w:rsidRPr="007C26BE">
        <w:rPr>
          <w:color w:val="auto"/>
          <w:sz w:val="24"/>
          <w:szCs w:val="24"/>
        </w:rPr>
        <w:t>теплоэнергии</w:t>
      </w:r>
      <w:proofErr w:type="spellEnd"/>
      <w:r w:rsidRPr="007C26BE">
        <w:rPr>
          <w:color w:val="auto"/>
          <w:sz w:val="24"/>
          <w:szCs w:val="24"/>
        </w:rPr>
        <w:t xml:space="preserve"> и воды является население, численность которого сохраняет устойчивую тенденцию к снижению, а большую часть электроэнергии потребляют предприятия, дальнейшее развитие сферы производства и распределения электроэнергии и воды будет в большей степени зависеть от экономической активности и состояния предприятий, расположенных на территории округа.</w:t>
      </w:r>
      <w:r w:rsidRPr="007C26BE">
        <w:rPr>
          <w:color w:val="auto"/>
          <w:szCs w:val="28"/>
        </w:rPr>
        <w:t xml:space="preserve"> </w:t>
      </w: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Сдерживающим фактором роста потребления энергетических ресурсов будет снижение численности населения </w:t>
      </w:r>
      <w:proofErr w:type="spellStart"/>
      <w:r w:rsidRPr="007C26B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</w:t>
      </w:r>
      <w:r w:rsidRPr="007C26BE">
        <w:rPr>
          <w:color w:val="auto"/>
          <w:sz w:val="24"/>
          <w:szCs w:val="24"/>
        </w:rPr>
        <w:t>снижением объемов экспортных поставок электроэнергии,</w:t>
      </w:r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 а также реализация мер по повышению </w:t>
      </w:r>
      <w:proofErr w:type="spellStart"/>
      <w:r w:rsidRPr="007C26BE">
        <w:rPr>
          <w:rFonts w:eastAsiaTheme="minorHAnsi"/>
          <w:color w:val="auto"/>
          <w:sz w:val="24"/>
          <w:szCs w:val="24"/>
          <w:lang w:eastAsia="en-US"/>
        </w:rPr>
        <w:t>энергоэффективности</w:t>
      </w:r>
      <w:proofErr w:type="spellEnd"/>
      <w:r w:rsidRPr="007C26BE">
        <w:rPr>
          <w:rFonts w:eastAsiaTheme="minorHAnsi"/>
          <w:color w:val="auto"/>
          <w:sz w:val="24"/>
          <w:szCs w:val="24"/>
          <w:lang w:eastAsia="en-US"/>
        </w:rPr>
        <w:t xml:space="preserve"> экономики, разработка и внедрение энергосберегающих технологий, выбытие неэффективных мощностей, сокращение потерь энергии. </w:t>
      </w: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B25E5C" w:rsidRDefault="00FD2F9C" w:rsidP="00FD2F9C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B25E5C">
        <w:rPr>
          <w:b/>
          <w:color w:val="auto"/>
          <w:sz w:val="24"/>
          <w:szCs w:val="24"/>
        </w:rPr>
        <w:t>Рынок товаров и услуг</w:t>
      </w:r>
    </w:p>
    <w:p w:rsidR="00FD2F9C" w:rsidRPr="00AD3FD7" w:rsidRDefault="00FD2F9C" w:rsidP="00FD2F9C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FF0000"/>
          <w:sz w:val="24"/>
          <w:szCs w:val="24"/>
          <w:highlight w:val="yellow"/>
          <w:lang w:eastAsia="en-US"/>
        </w:rPr>
      </w:pPr>
    </w:p>
    <w:p w:rsidR="00FD2F9C" w:rsidRPr="00392D32" w:rsidRDefault="00FD2F9C" w:rsidP="00FD2F9C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392D32">
        <w:rPr>
          <w:rFonts w:eastAsiaTheme="minorHAnsi"/>
          <w:color w:val="auto"/>
          <w:sz w:val="24"/>
          <w:szCs w:val="24"/>
          <w:lang w:eastAsia="en-US"/>
        </w:rPr>
        <w:t xml:space="preserve">На развитие потребительского рынка в прогнозном периоде будет влиять с одной стороны снижение численности населения, а с другой - реализация инвестиционных проектов, предусмотренных программой социально-экономического развития </w:t>
      </w:r>
      <w:proofErr w:type="spellStart"/>
      <w:r w:rsidRPr="00392D32">
        <w:rPr>
          <w:rFonts w:eastAsiaTheme="minorHAnsi"/>
          <w:color w:val="auto"/>
          <w:sz w:val="24"/>
          <w:szCs w:val="24"/>
          <w:lang w:eastAsia="en-US"/>
        </w:rPr>
        <w:lastRenderedPageBreak/>
        <w:t>Печенгского</w:t>
      </w:r>
      <w:proofErr w:type="spellEnd"/>
      <w:r w:rsidRPr="00392D32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2021-2025 годы, утвержденной распоряжением Губернатора Мурманской области от 29.03.2021 № 74-РГ, а также </w:t>
      </w:r>
      <w:r w:rsidRPr="00392D32">
        <w:rPr>
          <w:color w:val="auto"/>
          <w:sz w:val="24"/>
          <w:szCs w:val="24"/>
        </w:rPr>
        <w:t>увеличение денежной массы у населения и позитивные потребительские ожидания на фоне общей стабилизации.</w:t>
      </w:r>
      <w:proofErr w:type="gramEnd"/>
    </w:p>
    <w:p w:rsidR="00FD2F9C" w:rsidRPr="00844B3A" w:rsidRDefault="00FD2F9C" w:rsidP="00FD2F9C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392D32">
        <w:rPr>
          <w:color w:val="auto"/>
          <w:sz w:val="24"/>
          <w:szCs w:val="24"/>
        </w:rPr>
        <w:t>В результате к концу прогнозного периода индекс физического объема розничной торговли составит 99,2 %, индекс физического объема оборота общественного питания составит 99,8 %, индекс физического объема платных услуг прогнозируется на уровне 98,8%.</w:t>
      </w:r>
      <w:r w:rsidRPr="00844B3A">
        <w:rPr>
          <w:color w:val="auto"/>
          <w:sz w:val="24"/>
          <w:szCs w:val="24"/>
        </w:rPr>
        <w:t xml:space="preserve"> </w:t>
      </w:r>
    </w:p>
    <w:p w:rsidR="00FD2F9C" w:rsidRPr="004D1E7C" w:rsidRDefault="00FD2F9C" w:rsidP="00FD2F9C">
      <w:pPr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Ожидается, что и</w:t>
      </w:r>
      <w:r w:rsidRPr="004D1E7C">
        <w:rPr>
          <w:sz w:val="24"/>
          <w:szCs w:val="24"/>
        </w:rPr>
        <w:t xml:space="preserve">нфраструктура гостеприимства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D1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2027 году будет включать </w:t>
      </w:r>
      <w:r w:rsidRPr="004D1E7C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4D1E7C">
        <w:rPr>
          <w:sz w:val="24"/>
          <w:szCs w:val="24"/>
        </w:rPr>
        <w:t xml:space="preserve"> объектов коллективного размещения (гостиницы, отели</w:t>
      </w:r>
      <w:r>
        <w:rPr>
          <w:sz w:val="24"/>
          <w:szCs w:val="24"/>
        </w:rPr>
        <w:t>,</w:t>
      </w:r>
      <w:r w:rsidRPr="004D1E7C">
        <w:rPr>
          <w:sz w:val="24"/>
          <w:szCs w:val="24"/>
        </w:rPr>
        <w:t xml:space="preserve"> хостелы</w:t>
      </w:r>
      <w:r>
        <w:rPr>
          <w:sz w:val="24"/>
          <w:szCs w:val="24"/>
        </w:rPr>
        <w:t xml:space="preserve"> и пр</w:t>
      </w:r>
      <w:r w:rsidRPr="004D1E7C">
        <w:rPr>
          <w:color w:val="auto"/>
          <w:sz w:val="24"/>
          <w:szCs w:val="24"/>
        </w:rPr>
        <w:t>.). Несмотря на увеличивающийся поток туристов, в среднесрочном периоде не прогнозируется значительного роста количества объектов коллективного размещения.</w:t>
      </w: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  <w:highlight w:val="yellow"/>
        </w:rPr>
      </w:pPr>
    </w:p>
    <w:p w:rsidR="00FD2F9C" w:rsidRPr="00AD3FD7" w:rsidRDefault="00FD2F9C" w:rsidP="00FD2F9C">
      <w:pPr>
        <w:pStyle w:val="Default"/>
        <w:ind w:firstLine="709"/>
        <w:jc w:val="both"/>
        <w:rPr>
          <w:color w:val="FF0000"/>
          <w:highlight w:val="yellow"/>
        </w:rPr>
      </w:pPr>
    </w:p>
    <w:p w:rsidR="00FD2F9C" w:rsidRPr="00B25E5C" w:rsidRDefault="00FD2F9C" w:rsidP="00FD2F9C">
      <w:pPr>
        <w:pStyle w:val="Default"/>
        <w:numPr>
          <w:ilvl w:val="0"/>
          <w:numId w:val="24"/>
        </w:numPr>
        <w:jc w:val="center"/>
        <w:rPr>
          <w:b/>
          <w:color w:val="auto"/>
        </w:rPr>
      </w:pPr>
      <w:r w:rsidRPr="00B25E5C">
        <w:rPr>
          <w:b/>
          <w:color w:val="auto"/>
        </w:rPr>
        <w:t>Малое и среднее предпринимательство</w:t>
      </w:r>
    </w:p>
    <w:p w:rsidR="00FD2F9C" w:rsidRPr="002F6CF3" w:rsidRDefault="00FD2F9C" w:rsidP="00FD2F9C">
      <w:pPr>
        <w:pStyle w:val="Default"/>
        <w:ind w:left="360"/>
        <w:jc w:val="center"/>
        <w:rPr>
          <w:b/>
          <w:color w:val="auto"/>
          <w:highlight w:val="yellow"/>
        </w:rPr>
      </w:pP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2F6CF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с учетом реализация инвестиционных проектов, предусмотренных программой социально-экономического развития </w:t>
      </w:r>
      <w:proofErr w:type="spellStart"/>
      <w:r w:rsidRPr="002F6CF3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2F6CF3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2021-2025 годы, ожидается</w:t>
      </w:r>
      <w:r w:rsidRPr="003D5724">
        <w:rPr>
          <w:rFonts w:eastAsiaTheme="minorHAnsi"/>
          <w:color w:val="auto"/>
          <w:sz w:val="24"/>
          <w:szCs w:val="24"/>
          <w:lang w:eastAsia="en-US"/>
        </w:rPr>
        <w:t xml:space="preserve">, что к 2027 году количество субъектов МСП составит 873 единицы (103,9 % к 2023 году), в том числе: малых предприятий (включая </w:t>
      </w:r>
      <w:proofErr w:type="spellStart"/>
      <w:r w:rsidRPr="003D5724">
        <w:rPr>
          <w:rFonts w:eastAsiaTheme="minorHAnsi"/>
          <w:color w:val="auto"/>
          <w:sz w:val="24"/>
          <w:szCs w:val="24"/>
          <w:lang w:eastAsia="en-US"/>
        </w:rPr>
        <w:t>микропредприятия</w:t>
      </w:r>
      <w:proofErr w:type="spellEnd"/>
      <w:r w:rsidRPr="003D5724">
        <w:rPr>
          <w:rFonts w:eastAsiaTheme="minorHAnsi"/>
          <w:color w:val="auto"/>
          <w:sz w:val="24"/>
          <w:szCs w:val="24"/>
          <w:lang w:eastAsia="en-US"/>
        </w:rPr>
        <w:t xml:space="preserve">) </w:t>
      </w:r>
      <w:r>
        <w:rPr>
          <w:rFonts w:eastAsiaTheme="minorHAnsi"/>
          <w:color w:val="auto"/>
          <w:sz w:val="24"/>
          <w:szCs w:val="24"/>
          <w:lang w:eastAsia="en-US"/>
        </w:rPr>
        <w:t>155</w:t>
      </w:r>
      <w:r w:rsidRPr="003D5724">
        <w:rPr>
          <w:rFonts w:eastAsiaTheme="minorHAnsi"/>
          <w:color w:val="auto"/>
          <w:sz w:val="24"/>
          <w:szCs w:val="24"/>
          <w:lang w:eastAsia="en-US"/>
        </w:rPr>
        <w:t xml:space="preserve"> единиц со среднесписочной численностью работающих </w:t>
      </w:r>
      <w:r>
        <w:rPr>
          <w:rFonts w:eastAsiaTheme="minorHAnsi"/>
          <w:color w:val="auto"/>
          <w:sz w:val="24"/>
          <w:szCs w:val="24"/>
          <w:lang w:eastAsia="en-US"/>
        </w:rPr>
        <w:t>6788</w:t>
      </w:r>
      <w:r w:rsidRPr="003D5724">
        <w:rPr>
          <w:rFonts w:eastAsiaTheme="minorHAnsi"/>
          <w:color w:val="auto"/>
          <w:sz w:val="24"/>
          <w:szCs w:val="24"/>
          <w:lang w:eastAsia="en-US"/>
        </w:rPr>
        <w:t xml:space="preserve"> человек, индивидуальных предпринимателей – </w:t>
      </w:r>
      <w:r>
        <w:rPr>
          <w:rFonts w:eastAsiaTheme="minorHAnsi"/>
          <w:color w:val="auto"/>
          <w:sz w:val="24"/>
          <w:szCs w:val="24"/>
          <w:lang w:eastAsia="en-US"/>
        </w:rPr>
        <w:t>718</w:t>
      </w:r>
      <w:r w:rsidRPr="003D5724">
        <w:rPr>
          <w:rFonts w:eastAsiaTheme="minorHAnsi"/>
          <w:color w:val="auto"/>
          <w:sz w:val="24"/>
          <w:szCs w:val="24"/>
          <w:lang w:eastAsia="en-US"/>
        </w:rPr>
        <w:t xml:space="preserve"> единиц. </w:t>
      </w:r>
      <w:proofErr w:type="gramEnd"/>
    </w:p>
    <w:p w:rsidR="00FD2F9C" w:rsidRPr="002F6CF3" w:rsidRDefault="00FD2F9C" w:rsidP="00FD2F9C">
      <w:pPr>
        <w:pStyle w:val="ac"/>
        <w:spacing w:line="276" w:lineRule="auto"/>
        <w:ind w:firstLine="709"/>
        <w:rPr>
          <w:sz w:val="24"/>
          <w:szCs w:val="24"/>
        </w:rPr>
      </w:pPr>
      <w:r w:rsidRPr="002F6CF3">
        <w:rPr>
          <w:rFonts w:eastAsiaTheme="minorHAnsi"/>
          <w:sz w:val="24"/>
          <w:szCs w:val="24"/>
          <w:lang w:eastAsia="en-US"/>
        </w:rPr>
        <w:t>В прогнозный период будет продолжена работа по созданию благоприятных условий для развития предпринимательства в рамках разрабатываемой на 202</w:t>
      </w:r>
      <w:r>
        <w:rPr>
          <w:rFonts w:eastAsiaTheme="minorHAnsi"/>
          <w:sz w:val="24"/>
          <w:szCs w:val="24"/>
          <w:lang w:eastAsia="en-US"/>
        </w:rPr>
        <w:t>5</w:t>
      </w:r>
      <w:r w:rsidRPr="002F6CF3">
        <w:rPr>
          <w:rFonts w:eastAsiaTheme="minorHAnsi"/>
          <w:sz w:val="24"/>
          <w:szCs w:val="24"/>
          <w:lang w:eastAsia="en-US"/>
        </w:rPr>
        <w:t>-202</w:t>
      </w:r>
      <w:r>
        <w:rPr>
          <w:rFonts w:eastAsiaTheme="minorHAnsi"/>
          <w:sz w:val="24"/>
          <w:szCs w:val="24"/>
          <w:lang w:eastAsia="en-US"/>
        </w:rPr>
        <w:t>7</w:t>
      </w:r>
      <w:r w:rsidRPr="002F6CF3">
        <w:rPr>
          <w:rFonts w:eastAsiaTheme="minorHAnsi"/>
          <w:sz w:val="24"/>
          <w:szCs w:val="24"/>
          <w:lang w:eastAsia="en-US"/>
        </w:rPr>
        <w:t xml:space="preserve"> годы подпрограммы </w:t>
      </w:r>
      <w:proofErr w:type="spellStart"/>
      <w:r w:rsidRPr="002F6CF3"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 w:rsidRPr="002F6CF3">
        <w:rPr>
          <w:rFonts w:eastAsiaTheme="minorHAnsi"/>
          <w:sz w:val="24"/>
          <w:szCs w:val="24"/>
          <w:lang w:eastAsia="en-US"/>
        </w:rPr>
        <w:t xml:space="preserve"> муниципального округа «Повышение инвестиционной привлекательности </w:t>
      </w:r>
      <w:proofErr w:type="spellStart"/>
      <w:r w:rsidRPr="002F6CF3"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 w:rsidRPr="002F6CF3">
        <w:rPr>
          <w:rFonts w:eastAsiaTheme="minorHAnsi"/>
          <w:sz w:val="24"/>
          <w:szCs w:val="24"/>
          <w:lang w:eastAsia="en-US"/>
        </w:rPr>
        <w:t xml:space="preserve"> муниципального округа» муниципальной программы «Экономический потенциал». Продолжится финансовая, имущественная, консультационная поддержка субъектов МСП, </w:t>
      </w:r>
      <w:r w:rsidRPr="002F6CF3">
        <w:rPr>
          <w:sz w:val="24"/>
          <w:szCs w:val="24"/>
        </w:rPr>
        <w:t>поддержка резидентов АЗ РФ, включающая большой пакет административных и налоговых преференций, предоставление земельных участков, находящихся в государственной и муниципальной собственности, без торгов, по льготным ставкам аренды и выкупа, разработка и реализация механизмов для привлечения инвестиций.</w:t>
      </w:r>
      <w:r>
        <w:rPr>
          <w:sz w:val="24"/>
          <w:szCs w:val="24"/>
        </w:rPr>
        <w:t xml:space="preserve"> </w:t>
      </w:r>
      <w:r w:rsidRPr="000F3CAE">
        <w:rPr>
          <w:sz w:val="24"/>
          <w:szCs w:val="24"/>
        </w:rPr>
        <w:t>Продолжится работа по организации и проведению конференций, форумов, встреч, семинаров, тренингов для субъектов малого и среднего предпринимательства.</w:t>
      </w:r>
    </w:p>
    <w:p w:rsidR="00FD2F9C" w:rsidRPr="007417F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увеличения числа субъектов МСП в прогнозном периоде будут являться: </w:t>
      </w:r>
    </w:p>
    <w:p w:rsidR="00FD2F9C" w:rsidRDefault="00FD2F9C" w:rsidP="00FD2F9C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- отток молодежи, имеющей высокий предпринимательский потенциал; </w:t>
      </w:r>
    </w:p>
    <w:p w:rsidR="00FD2F9C" w:rsidRDefault="00FD2F9C" w:rsidP="00FD2F9C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</w:t>
      </w:r>
      <w:r w:rsidRPr="000F3CAE">
        <w:rPr>
          <w:color w:val="auto"/>
          <w:sz w:val="24"/>
          <w:szCs w:val="24"/>
        </w:rPr>
        <w:t>недостаток трудовых ресурсов, недостаточный уровень профессиональной подготовки;</w:t>
      </w:r>
    </w:p>
    <w:p w:rsidR="00FD2F9C" w:rsidRPr="000F3CAE" w:rsidRDefault="00FD2F9C" w:rsidP="00FD2F9C">
      <w:pPr>
        <w:pStyle w:val="ac"/>
        <w:spacing w:line="276" w:lineRule="auto"/>
        <w:ind w:firstLine="0"/>
        <w:jc w:val="left"/>
        <w:rPr>
          <w:sz w:val="24"/>
          <w:szCs w:val="24"/>
        </w:rPr>
      </w:pPr>
      <w:r w:rsidRPr="000F3CAE">
        <w:rPr>
          <w:sz w:val="24"/>
          <w:szCs w:val="24"/>
        </w:rPr>
        <w:t>- недостаток собственных оборотных сре</w:t>
      </w:r>
      <w:proofErr w:type="gramStart"/>
      <w:r w:rsidRPr="000F3CAE">
        <w:rPr>
          <w:sz w:val="24"/>
          <w:szCs w:val="24"/>
        </w:rPr>
        <w:t>дств пр</w:t>
      </w:r>
      <w:proofErr w:type="gramEnd"/>
      <w:r w:rsidRPr="000F3CAE">
        <w:rPr>
          <w:sz w:val="24"/>
          <w:szCs w:val="24"/>
        </w:rPr>
        <w:t>едприятий;</w:t>
      </w:r>
    </w:p>
    <w:p w:rsidR="00FD2F9C" w:rsidRPr="000F3CAE" w:rsidRDefault="00FD2F9C" w:rsidP="00FD2F9C">
      <w:pPr>
        <w:pStyle w:val="ac"/>
        <w:spacing w:line="276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0F3CAE">
        <w:rPr>
          <w:sz w:val="24"/>
          <w:szCs w:val="24"/>
        </w:rPr>
        <w:t>- высокие процентные ставки по кредитам;</w:t>
      </w:r>
    </w:p>
    <w:p w:rsidR="00FD2F9C" w:rsidRPr="007417FC" w:rsidRDefault="00FD2F9C" w:rsidP="00FD2F9C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>- консервация шахты «</w:t>
      </w:r>
      <w:proofErr w:type="spellStart"/>
      <w:r w:rsidRPr="007417FC">
        <w:rPr>
          <w:rFonts w:eastAsiaTheme="minorHAnsi"/>
          <w:color w:val="auto"/>
          <w:sz w:val="24"/>
          <w:szCs w:val="24"/>
          <w:lang w:eastAsia="en-US"/>
        </w:rPr>
        <w:t>Каула-Котсельваара</w:t>
      </w:r>
      <w:proofErr w:type="spellEnd"/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» в рамках реконфигурации горнодобывающих мощностей в </w:t>
      </w:r>
      <w:proofErr w:type="spellStart"/>
      <w:r w:rsidRPr="007417FC">
        <w:rPr>
          <w:rFonts w:eastAsiaTheme="minorHAnsi"/>
          <w:color w:val="auto"/>
          <w:sz w:val="24"/>
          <w:szCs w:val="24"/>
          <w:lang w:eastAsia="en-US"/>
        </w:rPr>
        <w:t>Печенгском</w:t>
      </w:r>
      <w:proofErr w:type="spellEnd"/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 округе;</w:t>
      </w:r>
    </w:p>
    <w:p w:rsidR="00FD2F9C" w:rsidRPr="007417FC" w:rsidRDefault="00FD2F9C" w:rsidP="00FD2F9C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>- адаптация к новым условиям ведения хозяйственной деятельности, вызванным внешнеэкономической ситуацией;</w:t>
      </w:r>
    </w:p>
    <w:p w:rsidR="00FD2F9C" w:rsidRDefault="00FD2F9C" w:rsidP="00FD2F9C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- высокая стоимость ресурсов: </w:t>
      </w:r>
      <w:proofErr w:type="spellStart"/>
      <w:r w:rsidRPr="007417FC">
        <w:rPr>
          <w:rFonts w:eastAsiaTheme="minorHAnsi"/>
          <w:color w:val="auto"/>
          <w:sz w:val="24"/>
          <w:szCs w:val="24"/>
          <w:lang w:eastAsia="en-US"/>
        </w:rPr>
        <w:t>энерг</w:t>
      </w:r>
      <w:proofErr w:type="gramStart"/>
      <w:r w:rsidRPr="007417FC">
        <w:rPr>
          <w:rFonts w:eastAsiaTheme="minorHAnsi"/>
          <w:color w:val="auto"/>
          <w:sz w:val="24"/>
          <w:szCs w:val="24"/>
          <w:lang w:eastAsia="en-US"/>
        </w:rPr>
        <w:t>о</w:t>
      </w:r>
      <w:proofErr w:type="spellEnd"/>
      <w:r w:rsidRPr="007417FC">
        <w:rPr>
          <w:rFonts w:eastAsiaTheme="minorHAnsi"/>
          <w:color w:val="auto"/>
          <w:sz w:val="24"/>
          <w:szCs w:val="24"/>
          <w:lang w:eastAsia="en-US"/>
        </w:rPr>
        <w:t>-</w:t>
      </w:r>
      <w:proofErr w:type="gramEnd"/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spellStart"/>
      <w:r w:rsidRPr="007417FC">
        <w:rPr>
          <w:rFonts w:eastAsiaTheme="minorHAnsi"/>
          <w:color w:val="auto"/>
          <w:sz w:val="24"/>
          <w:szCs w:val="24"/>
          <w:lang w:eastAsia="en-US"/>
        </w:rPr>
        <w:t>теплоресурсов</w:t>
      </w:r>
      <w:proofErr w:type="spellEnd"/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, аренды земли и помещений, отсутствие начального капитала. </w:t>
      </w:r>
    </w:p>
    <w:p w:rsidR="00FD2F9C" w:rsidRPr="00AD3FD7" w:rsidRDefault="00FD2F9C" w:rsidP="00FD2F9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B25E5C" w:rsidRDefault="00FD2F9C" w:rsidP="00FD2F9C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B25E5C">
        <w:rPr>
          <w:b/>
          <w:color w:val="auto"/>
          <w:sz w:val="24"/>
          <w:szCs w:val="24"/>
        </w:rPr>
        <w:t>Инвестиции и строительство</w:t>
      </w:r>
    </w:p>
    <w:p w:rsidR="00FD2F9C" w:rsidRPr="00AD3FD7" w:rsidRDefault="00FD2F9C" w:rsidP="00FD2F9C">
      <w:pPr>
        <w:autoSpaceDE w:val="0"/>
        <w:autoSpaceDN w:val="0"/>
        <w:adjustRightInd w:val="0"/>
        <w:ind w:left="360"/>
        <w:jc w:val="center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7417F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В прогнозном периоде предполагается реализация проектов, начатых в предыдущие годы, а также начало реализации новых инвестиционных проектов: </w:t>
      </w:r>
    </w:p>
    <w:p w:rsidR="00FD2F9C" w:rsidRPr="001B39E5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1B39E5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2021 -2026 гг.);</w:t>
      </w:r>
    </w:p>
    <w:p w:rsidR="00FD2F9C" w:rsidRPr="00BB3F2B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BB3F2B"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 w:rsidRPr="00BB3F2B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BB3F2B">
        <w:rPr>
          <w:color w:val="auto"/>
          <w:sz w:val="24"/>
          <w:szCs w:val="24"/>
        </w:rPr>
        <w:t xml:space="preserve"> </w:t>
      </w:r>
      <w:proofErr w:type="spellStart"/>
      <w:r w:rsidRPr="00BB3F2B">
        <w:rPr>
          <w:color w:val="auto"/>
          <w:sz w:val="24"/>
          <w:szCs w:val="24"/>
        </w:rPr>
        <w:t>Пазских</w:t>
      </w:r>
      <w:proofErr w:type="spellEnd"/>
      <w:r w:rsidRPr="00BB3F2B">
        <w:rPr>
          <w:color w:val="auto"/>
          <w:sz w:val="24"/>
          <w:szCs w:val="24"/>
        </w:rPr>
        <w:t xml:space="preserve"> ГЭС (период реализации 2024-2027 гг.);</w:t>
      </w:r>
    </w:p>
    <w:p w:rsidR="00FD2F9C" w:rsidRPr="009D46CA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9D46CA">
        <w:rPr>
          <w:color w:val="auto"/>
          <w:sz w:val="24"/>
          <w:szCs w:val="24"/>
        </w:rPr>
        <w:t xml:space="preserve">- реализация инвестиционного проекта «Оборудование многоквартирных жилых домов интеллектуальной системой учета» в рамках инвестиционной программы на 2023-2025 </w:t>
      </w:r>
      <w:proofErr w:type="spellStart"/>
      <w:proofErr w:type="gramStart"/>
      <w:r w:rsidRPr="009D46CA">
        <w:rPr>
          <w:color w:val="auto"/>
          <w:sz w:val="24"/>
          <w:szCs w:val="24"/>
        </w:rPr>
        <w:t>гг</w:t>
      </w:r>
      <w:proofErr w:type="spellEnd"/>
      <w:proofErr w:type="gramEnd"/>
      <w:r w:rsidRPr="009D46CA">
        <w:rPr>
          <w:color w:val="auto"/>
          <w:sz w:val="24"/>
          <w:szCs w:val="24"/>
        </w:rPr>
        <w:t xml:space="preserve"> АО «</w:t>
      </w:r>
      <w:proofErr w:type="spellStart"/>
      <w:r w:rsidRPr="009D46CA">
        <w:rPr>
          <w:color w:val="auto"/>
          <w:sz w:val="24"/>
          <w:szCs w:val="24"/>
        </w:rPr>
        <w:t>АтомЭнергоСбыт</w:t>
      </w:r>
      <w:proofErr w:type="spellEnd"/>
      <w:r w:rsidRPr="009D46CA">
        <w:rPr>
          <w:color w:val="auto"/>
          <w:sz w:val="24"/>
          <w:szCs w:val="24"/>
        </w:rPr>
        <w:t>»;</w:t>
      </w:r>
    </w:p>
    <w:p w:rsidR="00FD2F9C" w:rsidRPr="00894C7E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894C7E">
        <w:rPr>
          <w:color w:val="auto"/>
          <w:sz w:val="24"/>
          <w:szCs w:val="24"/>
        </w:rPr>
        <w:t xml:space="preserve">- инвестиционные проекты, реализуемые АО «Кольская ГМК», на территории </w:t>
      </w:r>
      <w:proofErr w:type="spellStart"/>
      <w:r w:rsidRPr="00894C7E">
        <w:rPr>
          <w:color w:val="auto"/>
          <w:sz w:val="24"/>
          <w:szCs w:val="24"/>
        </w:rPr>
        <w:t>Печенгского</w:t>
      </w:r>
      <w:proofErr w:type="spellEnd"/>
      <w:r w:rsidRPr="00894C7E">
        <w:rPr>
          <w:color w:val="auto"/>
          <w:sz w:val="24"/>
          <w:szCs w:val="24"/>
        </w:rPr>
        <w:t xml:space="preserve"> муниципального округа (период реализации 2023-2027 гг.) (Вскрытие и отработка запасов руды до гор.-730 м рудника «Северный – Глубокий» - проходка горных выработок, работы по оснащению пройденных горных выработок, а также </w:t>
      </w:r>
      <w:proofErr w:type="spellStart"/>
      <w:r w:rsidRPr="00894C7E">
        <w:rPr>
          <w:color w:val="auto"/>
          <w:sz w:val="24"/>
          <w:szCs w:val="24"/>
        </w:rPr>
        <w:t>углубка</w:t>
      </w:r>
      <w:proofErr w:type="spellEnd"/>
      <w:r w:rsidRPr="00894C7E">
        <w:rPr>
          <w:color w:val="auto"/>
          <w:sz w:val="24"/>
          <w:szCs w:val="24"/>
        </w:rPr>
        <w:t xml:space="preserve"> ЦВС; </w:t>
      </w:r>
      <w:proofErr w:type="gramStart"/>
      <w:r w:rsidRPr="00894C7E">
        <w:rPr>
          <w:color w:val="auto"/>
          <w:sz w:val="24"/>
          <w:szCs w:val="24"/>
        </w:rPr>
        <w:t>Вскрытие и отработка запасов руды до гор.-440 м рудника «Северный – Глубокий» - строительство транспортной выработки Восточного участка гор.-440 м, строительство комплекса выработок разгрузки автосамосвалов и погрузочных камер Восточного участка откаточного горизонта -440 м; Реконструкция станции очистки шахтных вод рудника «Северный»);</w:t>
      </w:r>
      <w:proofErr w:type="gramEnd"/>
    </w:p>
    <w:p w:rsidR="00FD2F9C" w:rsidRPr="002900C7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2900C7"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 w:rsidRPr="002900C7">
        <w:rPr>
          <w:color w:val="auto"/>
          <w:sz w:val="24"/>
          <w:szCs w:val="24"/>
        </w:rPr>
        <w:t>смолтовый</w:t>
      </w:r>
      <w:proofErr w:type="spellEnd"/>
      <w:r w:rsidRPr="002900C7">
        <w:rPr>
          <w:color w:val="auto"/>
          <w:sz w:val="24"/>
          <w:szCs w:val="24"/>
        </w:rPr>
        <w:t xml:space="preserve">) завод по выращиванию посадочного материала атлантического лосося и форели в </w:t>
      </w:r>
      <w:proofErr w:type="spellStart"/>
      <w:r w:rsidRPr="002900C7">
        <w:rPr>
          <w:color w:val="auto"/>
          <w:sz w:val="24"/>
          <w:szCs w:val="24"/>
        </w:rPr>
        <w:t>Печенгском</w:t>
      </w:r>
      <w:proofErr w:type="spellEnd"/>
      <w:r w:rsidRPr="002900C7">
        <w:rPr>
          <w:color w:val="auto"/>
          <w:sz w:val="24"/>
          <w:szCs w:val="24"/>
        </w:rPr>
        <w:t xml:space="preserve"> районе Мурманской области (период реализации 2021-2025 гг.);</w:t>
      </w:r>
    </w:p>
    <w:p w:rsidR="00FD2F9C" w:rsidRPr="00384362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384362"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FD2F9C" w:rsidRPr="00270C0C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70C0C">
        <w:rPr>
          <w:color w:val="auto"/>
          <w:sz w:val="24"/>
          <w:szCs w:val="24"/>
        </w:rPr>
        <w:t xml:space="preserve">- строительство туристического комплекса в </w:t>
      </w:r>
      <w:proofErr w:type="spellStart"/>
      <w:r w:rsidRPr="00270C0C">
        <w:rPr>
          <w:color w:val="auto"/>
          <w:sz w:val="24"/>
          <w:szCs w:val="24"/>
        </w:rPr>
        <w:t>Печенгском</w:t>
      </w:r>
      <w:proofErr w:type="spellEnd"/>
      <w:r w:rsidRPr="00270C0C">
        <w:rPr>
          <w:color w:val="auto"/>
          <w:sz w:val="24"/>
          <w:szCs w:val="24"/>
        </w:rPr>
        <w:t xml:space="preserve"> округе (срок реализации 2022-2026 гг.);</w:t>
      </w:r>
    </w:p>
    <w:p w:rsidR="00FD2F9C" w:rsidRPr="00506E99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506E99"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FD2F9C" w:rsidRPr="00384362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384362">
        <w:rPr>
          <w:color w:val="auto"/>
          <w:sz w:val="24"/>
          <w:szCs w:val="24"/>
        </w:rPr>
        <w:t>- туристический кластер «</w:t>
      </w:r>
      <w:proofErr w:type="spellStart"/>
      <w:r w:rsidRPr="00384362">
        <w:rPr>
          <w:color w:val="auto"/>
          <w:sz w:val="24"/>
          <w:szCs w:val="24"/>
        </w:rPr>
        <w:t>Валла-Тунтури</w:t>
      </w:r>
      <w:proofErr w:type="spellEnd"/>
      <w:r w:rsidRPr="00384362">
        <w:rPr>
          <w:color w:val="auto"/>
          <w:sz w:val="24"/>
          <w:szCs w:val="24"/>
        </w:rPr>
        <w:t>» (срок реализации 2021-2026 гг.);</w:t>
      </w:r>
    </w:p>
    <w:p w:rsidR="00FD2F9C" w:rsidRPr="009D46CA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 w:rsidRPr="009D46CA">
        <w:rPr>
          <w:color w:val="auto"/>
          <w:sz w:val="24"/>
          <w:szCs w:val="24"/>
        </w:rPr>
        <w:t xml:space="preserve">- строительство </w:t>
      </w:r>
      <w:proofErr w:type="spellStart"/>
      <w:r w:rsidRPr="009D46CA">
        <w:rPr>
          <w:color w:val="auto"/>
          <w:sz w:val="24"/>
          <w:szCs w:val="24"/>
        </w:rPr>
        <w:t>глэмпинга</w:t>
      </w:r>
      <w:proofErr w:type="spellEnd"/>
      <w:r w:rsidRPr="009D46CA">
        <w:rPr>
          <w:color w:val="auto"/>
          <w:sz w:val="24"/>
          <w:szCs w:val="24"/>
        </w:rPr>
        <w:t xml:space="preserve"> и кафе на берегу озера </w:t>
      </w:r>
      <w:proofErr w:type="spellStart"/>
      <w:r w:rsidRPr="009D46CA">
        <w:rPr>
          <w:color w:val="auto"/>
          <w:sz w:val="24"/>
          <w:szCs w:val="24"/>
        </w:rPr>
        <w:t>Куэтсъярви</w:t>
      </w:r>
      <w:proofErr w:type="spellEnd"/>
      <w:r w:rsidRPr="009D46CA">
        <w:rPr>
          <w:color w:val="auto"/>
          <w:sz w:val="24"/>
          <w:szCs w:val="24"/>
        </w:rPr>
        <w:t xml:space="preserve"> (срок реализации 2021-2025 гг.);</w:t>
      </w:r>
    </w:p>
    <w:p w:rsidR="00FD2F9C" w:rsidRPr="00E310BD" w:rsidRDefault="00FD2F9C" w:rsidP="00FD2F9C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E310BD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E310BD">
        <w:rPr>
          <w:color w:val="auto"/>
          <w:sz w:val="24"/>
          <w:szCs w:val="24"/>
        </w:rPr>
        <w:t>пгт</w:t>
      </w:r>
      <w:proofErr w:type="spellEnd"/>
      <w:r w:rsidRPr="00E310BD">
        <w:rPr>
          <w:color w:val="auto"/>
          <w:sz w:val="24"/>
          <w:szCs w:val="24"/>
        </w:rPr>
        <w:t>. Никель (</w:t>
      </w:r>
      <w:r>
        <w:rPr>
          <w:color w:val="auto"/>
          <w:sz w:val="24"/>
          <w:szCs w:val="24"/>
        </w:rPr>
        <w:t>срок</w:t>
      </w:r>
      <w:r w:rsidRPr="00E310BD">
        <w:rPr>
          <w:color w:val="auto"/>
          <w:sz w:val="24"/>
          <w:szCs w:val="24"/>
        </w:rPr>
        <w:t xml:space="preserve"> реализации 202</w:t>
      </w:r>
      <w:r>
        <w:rPr>
          <w:color w:val="auto"/>
          <w:sz w:val="24"/>
          <w:szCs w:val="24"/>
        </w:rPr>
        <w:t>1-2025</w:t>
      </w:r>
      <w:r w:rsidRPr="00E310B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г</w:t>
      </w:r>
      <w:r w:rsidRPr="00E310BD">
        <w:rPr>
          <w:color w:val="auto"/>
          <w:sz w:val="24"/>
          <w:szCs w:val="24"/>
        </w:rPr>
        <w:t>г.);</w:t>
      </w:r>
    </w:p>
    <w:p w:rsidR="00FD2F9C" w:rsidRPr="002F0D6D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2F0D6D">
        <w:rPr>
          <w:color w:val="auto"/>
          <w:sz w:val="24"/>
          <w:szCs w:val="24"/>
        </w:rPr>
        <w:t>реконструкция котельных и тепловых сетей в рамках концессионного соглашения (срок реализации 2024-2025 гг.);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E310BD">
        <w:rPr>
          <w:color w:val="auto"/>
          <w:sz w:val="24"/>
          <w:szCs w:val="24"/>
        </w:rPr>
        <w:t>реконструкция ДК «Октябрь» в г. Заполярный (2024-2025 гг.);</w:t>
      </w:r>
    </w:p>
    <w:p w:rsidR="00FD2F9C" w:rsidRPr="00E310BD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спортивного комплекса «Строитель» в г. Заполярный (2025 г.);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7C4B93">
        <w:rPr>
          <w:color w:val="auto"/>
          <w:sz w:val="24"/>
          <w:szCs w:val="24"/>
        </w:rPr>
        <w:t xml:space="preserve">завершение строительства недостроенного дома в г. </w:t>
      </w:r>
      <w:proofErr w:type="gramStart"/>
      <w:r w:rsidRPr="007C4B93">
        <w:rPr>
          <w:color w:val="auto"/>
          <w:sz w:val="24"/>
          <w:szCs w:val="24"/>
        </w:rPr>
        <w:t>Заполярный</w:t>
      </w:r>
      <w:proofErr w:type="gramEnd"/>
      <w:r w:rsidRPr="007C4B93">
        <w:rPr>
          <w:color w:val="auto"/>
          <w:sz w:val="24"/>
          <w:szCs w:val="24"/>
        </w:rPr>
        <w:t xml:space="preserve"> по ул. Ленинградская (2024-2025 гг.);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14EEB">
        <w:rPr>
          <w:color w:val="auto"/>
          <w:sz w:val="24"/>
          <w:szCs w:val="24"/>
        </w:rPr>
        <w:t xml:space="preserve">выполнение работ по </w:t>
      </w:r>
      <w:r>
        <w:rPr>
          <w:color w:val="auto"/>
          <w:sz w:val="24"/>
          <w:szCs w:val="24"/>
        </w:rPr>
        <w:t xml:space="preserve">капитальному </w:t>
      </w:r>
      <w:r w:rsidRPr="00514EEB">
        <w:rPr>
          <w:color w:val="auto"/>
          <w:sz w:val="24"/>
          <w:szCs w:val="24"/>
        </w:rPr>
        <w:t xml:space="preserve">ремонту фасада </w:t>
      </w:r>
      <w:r>
        <w:rPr>
          <w:color w:val="auto"/>
          <w:sz w:val="24"/>
          <w:szCs w:val="24"/>
        </w:rPr>
        <w:t xml:space="preserve">и входных групп </w:t>
      </w:r>
      <w:r w:rsidRPr="00514EEB">
        <w:rPr>
          <w:color w:val="auto"/>
          <w:sz w:val="24"/>
          <w:szCs w:val="24"/>
        </w:rPr>
        <w:t>МБОУ СОШ №19;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проектирование, строительство и ввод в эксплуатацию объекта капитального строительства «Детский сад на 350 мест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(срок реализации 2024-2026 гг.) * на сегодняшний день контракт не заключен;</w:t>
      </w:r>
    </w:p>
    <w:p w:rsidR="00FD2F9C" w:rsidRPr="007C4B93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строительство здания детского сада на 250 мест в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Корзуново</w:t>
      </w:r>
      <w:proofErr w:type="spellEnd"/>
      <w:r>
        <w:rPr>
          <w:color w:val="auto"/>
          <w:sz w:val="24"/>
          <w:szCs w:val="24"/>
        </w:rPr>
        <w:t xml:space="preserve"> (срок реализации 2024-2026 гг.) * на сегодняшний день контракт не заключен;</w:t>
      </w:r>
    </w:p>
    <w:p w:rsidR="00FD2F9C" w:rsidRDefault="00FD2F9C" w:rsidP="00FD2F9C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C41E07"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</w:t>
      </w:r>
      <w:r w:rsidRPr="00C41E07">
        <w:rPr>
          <w:color w:val="auto"/>
          <w:sz w:val="24"/>
          <w:szCs w:val="24"/>
        </w:rPr>
        <w:lastRenderedPageBreak/>
        <w:t xml:space="preserve">кластер </w:t>
      </w:r>
      <w:proofErr w:type="spellStart"/>
      <w:r w:rsidRPr="00C41E07">
        <w:rPr>
          <w:color w:val="auto"/>
          <w:sz w:val="24"/>
          <w:szCs w:val="24"/>
        </w:rPr>
        <w:t>Печенгского</w:t>
      </w:r>
      <w:proofErr w:type="spellEnd"/>
      <w:r w:rsidRPr="00C41E07">
        <w:rPr>
          <w:color w:val="auto"/>
          <w:sz w:val="24"/>
          <w:szCs w:val="24"/>
        </w:rPr>
        <w:t xml:space="preserve"> муниципального округа – «Кольская сверхглубокая», «Плавильный цех», «Шахта </w:t>
      </w:r>
      <w:proofErr w:type="spellStart"/>
      <w:r w:rsidRPr="00C41E07">
        <w:rPr>
          <w:color w:val="auto"/>
          <w:sz w:val="24"/>
          <w:szCs w:val="24"/>
        </w:rPr>
        <w:t>Каул</w:t>
      </w:r>
      <w:r>
        <w:rPr>
          <w:color w:val="auto"/>
          <w:sz w:val="24"/>
          <w:szCs w:val="24"/>
        </w:rPr>
        <w:t>а-Котсельваара</w:t>
      </w:r>
      <w:proofErr w:type="spellEnd"/>
      <w:r>
        <w:rPr>
          <w:color w:val="auto"/>
          <w:sz w:val="24"/>
          <w:szCs w:val="24"/>
        </w:rPr>
        <w:t>» (2023-2024 гг.).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r w:rsidRPr="000B56DF">
        <w:rPr>
          <w:bCs/>
          <w:sz w:val="24"/>
          <w:szCs w:val="24"/>
        </w:rPr>
        <w:t xml:space="preserve">К основным рискам </w:t>
      </w:r>
      <w:proofErr w:type="spellStart"/>
      <w:r w:rsidRPr="000B56DF">
        <w:rPr>
          <w:bCs/>
          <w:sz w:val="24"/>
          <w:szCs w:val="24"/>
        </w:rPr>
        <w:t>недостижения</w:t>
      </w:r>
      <w:proofErr w:type="spellEnd"/>
      <w:r w:rsidRPr="000B56DF">
        <w:rPr>
          <w:bCs/>
          <w:sz w:val="24"/>
          <w:szCs w:val="24"/>
        </w:rPr>
        <w:t xml:space="preserve"> прогнозных значений показателей относятся: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r w:rsidRPr="000B56DF">
        <w:rPr>
          <w:sz w:val="24"/>
          <w:szCs w:val="24"/>
        </w:rPr>
        <w:t>–</w:t>
      </w:r>
      <w:r w:rsidRPr="000B56DF">
        <w:rPr>
          <w:bCs/>
          <w:sz w:val="24"/>
          <w:szCs w:val="24"/>
        </w:rPr>
        <w:t xml:space="preserve"> отсрочка реализации инвестиционных проектов на территории </w:t>
      </w:r>
      <w:proofErr w:type="spellStart"/>
      <w:r>
        <w:rPr>
          <w:bCs/>
          <w:sz w:val="24"/>
          <w:szCs w:val="24"/>
        </w:rPr>
        <w:t>Печенгского</w:t>
      </w:r>
      <w:proofErr w:type="spellEnd"/>
      <w:r>
        <w:rPr>
          <w:bCs/>
          <w:sz w:val="24"/>
          <w:szCs w:val="24"/>
        </w:rPr>
        <w:t xml:space="preserve"> муниципального округа</w:t>
      </w:r>
      <w:r w:rsidRPr="000B56DF">
        <w:rPr>
          <w:bCs/>
          <w:sz w:val="24"/>
          <w:szCs w:val="24"/>
        </w:rPr>
        <w:t>;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sz w:val="24"/>
          <w:szCs w:val="24"/>
        </w:rPr>
      </w:pPr>
      <w:r w:rsidRPr="000B56DF">
        <w:rPr>
          <w:sz w:val="24"/>
          <w:szCs w:val="24"/>
        </w:rPr>
        <w:t>–</w:t>
      </w:r>
      <w:r w:rsidRPr="000B56DF">
        <w:rPr>
          <w:bCs/>
          <w:sz w:val="24"/>
          <w:szCs w:val="24"/>
        </w:rPr>
        <w:t xml:space="preserve"> сокращение объемов и/или перенос сроков планового финансирования проектов, реализуемых за счет средств федерального и областного бюджетов.</w:t>
      </w:r>
    </w:p>
    <w:p w:rsidR="00FD2F9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36C71">
        <w:rPr>
          <w:bCs/>
          <w:color w:val="auto"/>
          <w:sz w:val="24"/>
          <w:szCs w:val="24"/>
        </w:rPr>
        <w:t xml:space="preserve">В 2027 году объем инвестиций в основной капитал за счет всех источников финансирования, предположительно, составит </w:t>
      </w:r>
      <w:r w:rsidRPr="002F6CF3">
        <w:rPr>
          <w:bCs/>
          <w:color w:val="auto"/>
          <w:sz w:val="24"/>
          <w:szCs w:val="24"/>
        </w:rPr>
        <w:t xml:space="preserve">10 662,9 млн. рублей. </w:t>
      </w:r>
      <w:r w:rsidRPr="00136C71">
        <w:rPr>
          <w:rFonts w:eastAsiaTheme="minorHAnsi"/>
          <w:color w:val="auto"/>
          <w:sz w:val="24"/>
          <w:szCs w:val="24"/>
          <w:lang w:eastAsia="en-US"/>
        </w:rPr>
        <w:t>Предусматривается расширение инвестиционных возможностей предприятий, как за счет собственных, так и за счет привлеченных средств.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>В структуре источников финансирования в 2025 году и плановом периоде 2026- 2027 годов будут преобладать собственные средства организаций.</w:t>
      </w:r>
    </w:p>
    <w:p w:rsidR="00FD2F9C" w:rsidRPr="00B25E5C" w:rsidRDefault="00FD2F9C" w:rsidP="00FD2F9C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B25E5C">
        <w:rPr>
          <w:rFonts w:eastAsiaTheme="minorHAnsi"/>
          <w:b/>
          <w:bCs/>
          <w:color w:val="auto"/>
          <w:sz w:val="24"/>
          <w:szCs w:val="24"/>
          <w:lang w:eastAsia="en-US"/>
        </w:rPr>
        <w:t>6. Сальдированный финансовый результат (прибыль, убыток) деятельности крупных и средних предприятий</w:t>
      </w:r>
    </w:p>
    <w:p w:rsidR="00FD2F9C" w:rsidRPr="00AD3FD7" w:rsidRDefault="00FD2F9C" w:rsidP="00FD2F9C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D2F9C" w:rsidRPr="007417FC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r w:rsidRPr="0045554A">
        <w:rPr>
          <w:bCs/>
          <w:color w:val="auto"/>
          <w:sz w:val="24"/>
          <w:szCs w:val="24"/>
        </w:rPr>
        <w:t>В прогнозном периоде ожидается рост сальдированного финансового результата в среднем на 4% ежегодно. В 2027 году прогнозное значение показателя – 3 876,6 млн. рублей.</w:t>
      </w:r>
    </w:p>
    <w:p w:rsidR="00FD2F9C" w:rsidRPr="00B25E5C" w:rsidRDefault="00FD2F9C" w:rsidP="00FD2F9C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B25E5C">
        <w:rPr>
          <w:rFonts w:eastAsiaTheme="minorHAnsi"/>
          <w:b/>
          <w:bCs/>
          <w:color w:val="auto"/>
          <w:sz w:val="24"/>
          <w:szCs w:val="24"/>
          <w:lang w:eastAsia="en-US"/>
        </w:rPr>
        <w:t>7. Труд и занятость</w:t>
      </w:r>
    </w:p>
    <w:p w:rsidR="00FD2F9C" w:rsidRPr="00AD3FD7" w:rsidRDefault="00FD2F9C" w:rsidP="00FD2F9C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7417F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Рынок труда в прогнозный период будет в значительной степени определяться демографической составляющей, а именно снижением численности населения в трудоспособном возрасте. Основной задачей на прогнозный период будет стабилизация на рынке труда, недопущение роста безработицы, реализация мер, направленных на содействие занятости населения и снижение напряженности на рынке труда. </w:t>
      </w:r>
    </w:p>
    <w:p w:rsidR="00FD2F9C" w:rsidRPr="007417FC" w:rsidRDefault="00FD2F9C" w:rsidP="00FD2F9C">
      <w:pPr>
        <w:pStyle w:val="Default"/>
        <w:ind w:firstLine="709"/>
        <w:jc w:val="both"/>
        <w:rPr>
          <w:color w:val="auto"/>
          <w:highlight w:val="yellow"/>
        </w:rPr>
      </w:pPr>
      <w:r w:rsidRPr="007417FC">
        <w:rPr>
          <w:color w:val="auto"/>
        </w:rPr>
        <w:t xml:space="preserve">В целом численность населения в трудоспособном возрасте в 2027 году ожидается на уровне 16,976 тыс. человек, среднесписочная численность работников организаций (без субъектов малого предпринимательства) – 8,764 тыс. человек. </w:t>
      </w:r>
    </w:p>
    <w:p w:rsidR="00FD2F9C" w:rsidRPr="00C90D74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90D74">
        <w:rPr>
          <w:rFonts w:eastAsiaTheme="minorHAnsi"/>
          <w:color w:val="auto"/>
          <w:sz w:val="24"/>
          <w:szCs w:val="24"/>
          <w:lang w:eastAsia="en-US"/>
        </w:rPr>
        <w:t xml:space="preserve">Ожидается замедление темпов сокращения среднесписочной численности работающих в организациях </w:t>
      </w:r>
      <w:proofErr w:type="spellStart"/>
      <w:r w:rsidRPr="00C90D74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C90D74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снижение числа безработных, зарегистрированных в службе занятости. </w:t>
      </w:r>
    </w:p>
    <w:p w:rsidR="00FD2F9C" w:rsidRPr="007417F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2027 году численность официально зарегистрированных безработных в среднем за </w:t>
      </w:r>
      <w:r w:rsidRPr="00474DE9">
        <w:rPr>
          <w:rFonts w:eastAsiaTheme="minorHAnsi"/>
          <w:color w:val="auto"/>
          <w:sz w:val="24"/>
          <w:szCs w:val="24"/>
          <w:lang w:eastAsia="en-US"/>
        </w:rPr>
        <w:t>год составит 102 человека, или 0,6 %</w:t>
      </w: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 к среднегодовой численности населения в трудоспособном возрасте. </w:t>
      </w:r>
    </w:p>
    <w:p w:rsidR="00FD2F9C" w:rsidRPr="007417F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Рост заработной платы в целом по </w:t>
      </w:r>
      <w:proofErr w:type="spellStart"/>
      <w:r w:rsidRPr="007417FC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будет осуществляться за счет реального сектора экономики. В конце прогнозного периода номинальная заработная плата в организациях </w:t>
      </w:r>
      <w:proofErr w:type="spellStart"/>
      <w:r w:rsidRPr="007417FC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7417FC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(без субъектов малого предпринимательства) ожидается на уровне 132,3 тыс. рублей (+38,8% по сравнению с 2023 годом). </w:t>
      </w: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B25E5C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B25E5C">
        <w:rPr>
          <w:rFonts w:eastAsiaTheme="minorHAnsi"/>
          <w:b/>
          <w:bCs/>
          <w:color w:val="auto"/>
          <w:sz w:val="24"/>
          <w:szCs w:val="24"/>
          <w:lang w:eastAsia="en-US"/>
        </w:rPr>
        <w:t>8. Развитие социальной сферы</w:t>
      </w:r>
    </w:p>
    <w:p w:rsidR="00FD2F9C" w:rsidRPr="00AD3FD7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FD2F9C" w:rsidRPr="004E2C36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E2C36">
        <w:rPr>
          <w:rFonts w:eastAsiaTheme="minorHAnsi"/>
          <w:color w:val="auto"/>
          <w:sz w:val="24"/>
          <w:szCs w:val="24"/>
          <w:lang w:eastAsia="en-US"/>
        </w:rPr>
        <w:t xml:space="preserve">В прогнозируемом периоде ожидается, что численность детей в ДОУ в 2027 году увеличится по отношению к 2023 году на 7,4 % и составит 2 000 человек. Количество мест, при условии функционирования мест в ДОУ на уровне 2023 года, составит 136,9 мест на 100 детей. </w:t>
      </w:r>
    </w:p>
    <w:p w:rsidR="00FD2F9C" w:rsidRPr="004E2C36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E2C36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общеобразовательных организациях ожидается в 2027 году на уровне 4 042 человек (97,3 % к 2023 году). </w:t>
      </w:r>
    </w:p>
    <w:p w:rsidR="00FD2F9C" w:rsidRPr="004E2C36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E2C36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Прогнозная доля обучающихся в муниципальных общеобразовательных организациях, занимающихся в одну смену после завершения строительства и ввода в эксплуатацию здания начальной школы (пристройки) на 250 мест МБОУ ООШ №5 в </w:t>
      </w:r>
      <w:proofErr w:type="spellStart"/>
      <w:r w:rsidRPr="004E2C36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 w:rsidRPr="004E2C36">
        <w:rPr>
          <w:rFonts w:eastAsiaTheme="minorHAnsi"/>
          <w:color w:val="auto"/>
          <w:sz w:val="24"/>
          <w:szCs w:val="24"/>
          <w:lang w:eastAsia="en-US"/>
        </w:rPr>
        <w:t>.П</w:t>
      </w:r>
      <w:proofErr w:type="gramEnd"/>
      <w:r w:rsidRPr="004E2C36">
        <w:rPr>
          <w:rFonts w:eastAsiaTheme="minorHAnsi"/>
          <w:color w:val="auto"/>
          <w:sz w:val="24"/>
          <w:szCs w:val="24"/>
          <w:lang w:eastAsia="en-US"/>
        </w:rPr>
        <w:t>еченга</w:t>
      </w:r>
      <w:proofErr w:type="spellEnd"/>
      <w:r w:rsidRPr="004E2C36">
        <w:rPr>
          <w:rFonts w:eastAsiaTheme="minorHAnsi"/>
          <w:color w:val="auto"/>
          <w:sz w:val="24"/>
          <w:szCs w:val="24"/>
          <w:lang w:eastAsia="en-US"/>
        </w:rPr>
        <w:t xml:space="preserve"> увеличится и достигнет к 2027 году 94,9%.</w:t>
      </w:r>
    </w:p>
    <w:p w:rsidR="00FD2F9C" w:rsidRPr="00AD3FD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4E2C36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средних профессиональных учебных заведениях в 2027 году составит 175 человек (76,8 % к 2023 году). </w:t>
      </w:r>
      <w:r w:rsidRPr="000608B3">
        <w:rPr>
          <w:color w:val="auto"/>
          <w:sz w:val="24"/>
          <w:szCs w:val="24"/>
        </w:rPr>
        <w:t>Уменьшение контингента обучающихся произойдет, в том числе в связи с введением с 01.09.2023 года новых Федеральных государственных образовательных стандартов среднего профессионального образования изменятся сроки обучения на базе 9 классов (было 2 года 10 месяцев, станет 1 год 10 месяцев).</w:t>
      </w:r>
      <w:r w:rsidRPr="000608B3">
        <w:rPr>
          <w:color w:val="auto"/>
        </w:rPr>
        <w:t xml:space="preserve"> </w:t>
      </w:r>
      <w:r w:rsidRPr="000608B3">
        <w:rPr>
          <w:color w:val="auto"/>
          <w:sz w:val="24"/>
          <w:szCs w:val="24"/>
        </w:rPr>
        <w:t>С 01.09.2024 года ГАПОУ МО «</w:t>
      </w:r>
      <w:proofErr w:type="spellStart"/>
      <w:r w:rsidRPr="000608B3">
        <w:rPr>
          <w:color w:val="auto"/>
          <w:sz w:val="24"/>
          <w:szCs w:val="24"/>
        </w:rPr>
        <w:t>Печенгский</w:t>
      </w:r>
      <w:proofErr w:type="spellEnd"/>
      <w:r w:rsidRPr="000608B3">
        <w:rPr>
          <w:color w:val="auto"/>
          <w:sz w:val="24"/>
          <w:szCs w:val="24"/>
        </w:rPr>
        <w:t xml:space="preserve"> политехнический техникум» примет участие в качестве сетевой образовательной организации в реализации Федерального проекта «</w:t>
      </w:r>
      <w:proofErr w:type="spellStart"/>
      <w:r w:rsidRPr="000608B3">
        <w:rPr>
          <w:color w:val="auto"/>
          <w:sz w:val="24"/>
          <w:szCs w:val="24"/>
        </w:rPr>
        <w:t>Профессионалитет</w:t>
      </w:r>
      <w:proofErr w:type="spellEnd"/>
      <w:r w:rsidRPr="000608B3">
        <w:rPr>
          <w:color w:val="auto"/>
          <w:sz w:val="24"/>
          <w:szCs w:val="24"/>
        </w:rPr>
        <w:t xml:space="preserve">» в кластере «Кольский горно-металлургический» (специальность «Подземная разработка месторождений полезных ископаемых», будет осуществлен набор на базе 9 классов по профессии «Мастер слесарных работ», «Сварщик»). </w:t>
      </w:r>
    </w:p>
    <w:p w:rsidR="00FD2F9C" w:rsidRPr="002B490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В виду сокращения численности населения </w:t>
      </w:r>
      <w:proofErr w:type="spellStart"/>
      <w:r w:rsidRPr="002B4907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к 2027г оду ожидается увеличение значений показателей обеспеченности общедоступными библиотеками до 37,5 ед. в расчете на 100 тыс. населения, учреждениями культурно-досугового типа до 18,8 учреждений на 100 тыс. населения при условии функционирования имеющейся сети учреждений на уровне 2023 года.</w:t>
      </w:r>
    </w:p>
    <w:p w:rsidR="00FD2F9C" w:rsidRPr="00EF1E31" w:rsidRDefault="00FD2F9C" w:rsidP="00FD2F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9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Доля населения, систематически занимающегося физической культурой и спортом, в общей численности населения в 2027 году составит 71,6 % (109,1 % к 2023 году). </w:t>
      </w:r>
      <w:r w:rsidRPr="00D54B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Способствовать этому будут популяризация здорового образа жизни, вовлечение молодежи в занятие спортом, а также </w:t>
      </w:r>
      <w:r w:rsidRPr="00D54BE3">
        <w:rPr>
          <w:rFonts w:ascii="Times New Roman" w:hAnsi="Times New Roman" w:cs="Times New Roman"/>
          <w:sz w:val="24"/>
          <w:szCs w:val="24"/>
        </w:rPr>
        <w:t xml:space="preserve">модернизация учреждений спорта, увеличение количества спортивных объектов на территории округа: ФОК в </w:t>
      </w:r>
      <w:proofErr w:type="spellStart"/>
      <w:r w:rsidRPr="00D54BE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54BE3">
        <w:rPr>
          <w:rFonts w:ascii="Times New Roman" w:hAnsi="Times New Roman" w:cs="Times New Roman"/>
          <w:sz w:val="24"/>
          <w:szCs w:val="24"/>
        </w:rPr>
        <w:t xml:space="preserve">. Печенга, горнолыжный спуск в </w:t>
      </w:r>
      <w:proofErr w:type="spellStart"/>
      <w:r w:rsidRPr="00D54BE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54BE3">
        <w:rPr>
          <w:rFonts w:ascii="Times New Roman" w:hAnsi="Times New Roman" w:cs="Times New Roman"/>
          <w:sz w:val="24"/>
          <w:szCs w:val="24"/>
        </w:rPr>
        <w:t xml:space="preserve">. Никель, капитальный ремонт футбольного поля и благоустройство территории в г. Заполярный, создание спортивного пространства «Сопки. Спорт» в </w:t>
      </w:r>
      <w:proofErr w:type="spellStart"/>
      <w:r w:rsidRPr="00D54BE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54BE3">
        <w:rPr>
          <w:rFonts w:ascii="Times New Roman" w:hAnsi="Times New Roman" w:cs="Times New Roman"/>
          <w:sz w:val="24"/>
          <w:szCs w:val="24"/>
        </w:rPr>
        <w:t>. Никель.</w:t>
      </w:r>
    </w:p>
    <w:p w:rsidR="00FD2F9C" w:rsidRPr="00AD3FD7" w:rsidRDefault="00FD2F9C" w:rsidP="00FD2F9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1E31">
        <w:rPr>
          <w:rFonts w:ascii="Times New Roman" w:hAnsi="Times New Roman" w:cs="Times New Roman"/>
          <w:sz w:val="24"/>
          <w:szCs w:val="24"/>
        </w:rPr>
        <w:t xml:space="preserve">В прогнозном периоде продолжатся ремонты в учреждениях образования, культуры, физической культуры и спорта. Планируется выполнение работ по ремонту фасада МБОУ СОШ № 19, </w:t>
      </w:r>
      <w:r w:rsidRPr="00CE202D">
        <w:rPr>
          <w:rFonts w:ascii="Times New Roman" w:hAnsi="Times New Roman" w:cs="Times New Roman"/>
          <w:sz w:val="24"/>
          <w:szCs w:val="24"/>
        </w:rPr>
        <w:t xml:space="preserve">ремонтных работ по ремонту кабинетов «Точка роста» в МБОУ СОШ № 1 и МБОУ ОО № 20, преобразованию пространств образовательных организаций в рамках проекта «Арктическая школа», завершение реконструкции здания ДК «Восход», реконструкция ДК «Октябрь». </w:t>
      </w:r>
    </w:p>
    <w:p w:rsidR="00FD2F9C" w:rsidRPr="00522865" w:rsidRDefault="00FD2F9C" w:rsidP="00FD2F9C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2B4907">
        <w:rPr>
          <w:rFonts w:ascii="Times New Roman" w:hAnsi="Times New Roman" w:cs="Times New Roman"/>
          <w:sz w:val="24"/>
          <w:szCs w:val="24"/>
        </w:rPr>
        <w:t xml:space="preserve">Ожидается продолжение выполнения мероприятий в сфере благоустройства и городской </w:t>
      </w:r>
      <w:r w:rsidRPr="00522865">
        <w:rPr>
          <w:rFonts w:ascii="Times New Roman" w:hAnsi="Times New Roman" w:cs="Times New Roman"/>
          <w:sz w:val="24"/>
          <w:szCs w:val="24"/>
        </w:rPr>
        <w:t xml:space="preserve">среды (благоустройство дворовых и общественных территорий </w:t>
      </w:r>
      <w:proofErr w:type="spellStart"/>
      <w:r w:rsidRPr="0052286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22865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организация архитектурно-художественной подсветки зданий, нанесение </w:t>
      </w:r>
      <w:proofErr w:type="spellStart"/>
      <w:r w:rsidRPr="00522865">
        <w:rPr>
          <w:rFonts w:ascii="Times New Roman" w:hAnsi="Times New Roman" w:cs="Times New Roman"/>
          <w:sz w:val="24"/>
          <w:szCs w:val="24"/>
        </w:rPr>
        <w:t>муралов</w:t>
      </w:r>
      <w:proofErr w:type="spellEnd"/>
      <w:r w:rsidRPr="00522865">
        <w:rPr>
          <w:rFonts w:ascii="Times New Roman" w:hAnsi="Times New Roman" w:cs="Times New Roman"/>
          <w:sz w:val="24"/>
          <w:szCs w:val="24"/>
        </w:rPr>
        <w:t xml:space="preserve"> на фасады многоквартирных домов</w:t>
      </w:r>
      <w:r>
        <w:rPr>
          <w:rFonts w:ascii="Times New Roman" w:hAnsi="Times New Roman" w:cs="Times New Roman"/>
          <w:sz w:val="24"/>
          <w:szCs w:val="24"/>
        </w:rPr>
        <w:t>, ремонт автомобильных дорог общего пользования местного значения, устройству наружного освещения</w:t>
      </w:r>
      <w:r w:rsidRPr="00522865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FD2F9C" w:rsidRPr="002B4907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Средняя обеспеченность населения площадью жилых квартир увеличится на 3,5 </w:t>
      </w:r>
      <w:proofErr w:type="spellStart"/>
      <w:r w:rsidRPr="002B4907">
        <w:rPr>
          <w:rFonts w:eastAsiaTheme="minorHAnsi"/>
          <w:color w:val="auto"/>
          <w:sz w:val="24"/>
          <w:szCs w:val="24"/>
          <w:lang w:eastAsia="en-US"/>
        </w:rPr>
        <w:t>кв</w:t>
      </w:r>
      <w:proofErr w:type="gramStart"/>
      <w:r w:rsidRPr="002B4907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spellEnd"/>
      <w:proofErr w:type="gramEnd"/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 на 1 человека и составит в 2027 году 30,0 м</w:t>
      </w:r>
      <w:r w:rsidRPr="002B4907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. Увеличение средней обеспеченности населения площадью жилых квартир по сравнению с 2023 годом произойдет за счет снижения численности населения </w:t>
      </w:r>
      <w:proofErr w:type="spellStart"/>
      <w:r w:rsidRPr="002B4907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а также индивидуального жилищного строительства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и окончания реконструкции многоквартирного жилого дома в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г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.З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>аполярный</w:t>
      </w:r>
      <w:proofErr w:type="spellEnd"/>
      <w:r w:rsidRPr="002B4907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FD2F9C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907">
        <w:rPr>
          <w:rFonts w:eastAsiaTheme="minorHAnsi"/>
          <w:color w:val="auto"/>
          <w:sz w:val="24"/>
          <w:szCs w:val="24"/>
          <w:lang w:eastAsia="en-US"/>
        </w:rPr>
        <w:t>Площадь ветхого и аварийного жилого фонда к концу 2027 году прогнозируется на уровне 3,18 тыс</w:t>
      </w:r>
      <w:proofErr w:type="gramStart"/>
      <w:r w:rsidRPr="002B4907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gramEnd"/>
      <w:r w:rsidRPr="002B4907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2B4907">
        <w:rPr>
          <w:rFonts w:eastAsiaTheme="minorHAnsi"/>
          <w:color w:val="auto"/>
          <w:sz w:val="24"/>
          <w:szCs w:val="24"/>
          <w:lang w:eastAsia="en-US"/>
        </w:rPr>
        <w:t xml:space="preserve"> общей площади (</w:t>
      </w:r>
      <w:r w:rsidRPr="002B4907">
        <w:rPr>
          <w:color w:val="auto"/>
          <w:sz w:val="24"/>
          <w:szCs w:val="24"/>
        </w:rPr>
        <w:t xml:space="preserve">признанный аварийным жилой дом в </w:t>
      </w:r>
      <w:proofErr w:type="spellStart"/>
      <w:r w:rsidRPr="002B4907">
        <w:rPr>
          <w:color w:val="auto"/>
          <w:sz w:val="24"/>
          <w:szCs w:val="24"/>
        </w:rPr>
        <w:t>нп</w:t>
      </w:r>
      <w:proofErr w:type="spellEnd"/>
      <w:r w:rsidRPr="002B4907">
        <w:rPr>
          <w:color w:val="auto"/>
          <w:sz w:val="24"/>
          <w:szCs w:val="24"/>
        </w:rPr>
        <w:t xml:space="preserve">. </w:t>
      </w:r>
      <w:proofErr w:type="gramStart"/>
      <w:r w:rsidRPr="002B4907">
        <w:rPr>
          <w:color w:val="auto"/>
          <w:sz w:val="24"/>
          <w:szCs w:val="24"/>
        </w:rPr>
        <w:t>Приречный</w:t>
      </w:r>
      <w:proofErr w:type="gramEnd"/>
      <w:r w:rsidRPr="002B4907">
        <w:rPr>
          <w:color w:val="auto"/>
          <w:sz w:val="24"/>
          <w:szCs w:val="24"/>
        </w:rPr>
        <w:t>, ул. Горняков, д. 6), п</w:t>
      </w:r>
      <w:r w:rsidRPr="002B4907">
        <w:rPr>
          <w:rFonts w:eastAsiaTheme="minorHAnsi"/>
          <w:color w:val="auto"/>
          <w:sz w:val="24"/>
          <w:szCs w:val="24"/>
          <w:lang w:eastAsia="en-US"/>
        </w:rPr>
        <w:t>рогнозная площадь ветхого и аварийного фонда в общей площади жилого фонда составит 0,4%.</w:t>
      </w:r>
    </w:p>
    <w:p w:rsidR="00FD2F9C" w:rsidRPr="000B56DF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Ожидается, что п</w:t>
      </w:r>
      <w:r w:rsidRPr="000B56DF">
        <w:rPr>
          <w:sz w:val="24"/>
          <w:szCs w:val="24"/>
        </w:rPr>
        <w:t xml:space="preserve">ротяженность автодорог общего пользования местного значения в </w:t>
      </w:r>
      <w:proofErr w:type="spellStart"/>
      <w:r w:rsidRPr="000B56DF">
        <w:rPr>
          <w:sz w:val="24"/>
          <w:szCs w:val="24"/>
        </w:rPr>
        <w:t>Печенгском</w:t>
      </w:r>
      <w:proofErr w:type="spellEnd"/>
      <w:r w:rsidRPr="000B56DF">
        <w:rPr>
          <w:sz w:val="24"/>
          <w:szCs w:val="24"/>
        </w:rPr>
        <w:t xml:space="preserve"> муниципальном округе в  прогнозном периоде останется неизменным. </w:t>
      </w:r>
    </w:p>
    <w:p w:rsidR="00FD2F9C" w:rsidRPr="00AD3FD7" w:rsidRDefault="00FD2F9C" w:rsidP="00FD2F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  <w:r w:rsidRPr="007417FC">
        <w:rPr>
          <w:rFonts w:eastAsiaTheme="minorHAnsi"/>
          <w:color w:val="auto"/>
          <w:sz w:val="24"/>
          <w:szCs w:val="24"/>
          <w:lang w:eastAsia="en-US"/>
        </w:rPr>
        <w:lastRenderedPageBreak/>
        <w:t>Ожидается, что фактический уровень платежей населения за жилье и коммунальные услуги в 2027 году составит 93,0 %.</w:t>
      </w:r>
    </w:p>
    <w:p w:rsidR="00FD2F9C" w:rsidRPr="00B25E5C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B25E5C">
        <w:rPr>
          <w:rFonts w:eastAsiaTheme="minorHAnsi"/>
          <w:b/>
          <w:bCs/>
          <w:color w:val="auto"/>
          <w:sz w:val="24"/>
          <w:szCs w:val="24"/>
          <w:lang w:eastAsia="en-US"/>
        </w:rPr>
        <w:t>9.  Доходы бюджета</w:t>
      </w:r>
    </w:p>
    <w:p w:rsidR="00FD2F9C" w:rsidRPr="00AD3FD7" w:rsidRDefault="00FD2F9C" w:rsidP="00FD2F9C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D2F9C" w:rsidRPr="00FA49CD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При прогнозе налоговых и неналоговых поступлений доходов в бюджет </w:t>
      </w:r>
      <w:proofErr w:type="spellStart"/>
      <w:r w:rsidRPr="00FA49CD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учтены следующие аспекты: </w:t>
      </w:r>
    </w:p>
    <w:p w:rsidR="00FD2F9C" w:rsidRPr="00FA49CD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- основные направления налоговой политики Мурманской области, </w:t>
      </w:r>
      <w:proofErr w:type="spellStart"/>
      <w:r w:rsidRPr="00FA49CD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 </w:t>
      </w:r>
    </w:p>
    <w:p w:rsidR="00FD2F9C" w:rsidRPr="00FA49CD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- прогнозные поступления администраторов доходов, зачисляемых в бюджет </w:t>
      </w:r>
      <w:proofErr w:type="spellStart"/>
      <w:r w:rsidRPr="00FA49CD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</w:t>
      </w:r>
    </w:p>
    <w:p w:rsidR="00FD2F9C" w:rsidRPr="00FA49CD" w:rsidRDefault="00FD2F9C" w:rsidP="00FD2F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- предоставление первоочередных мер поддержки субъектам малого и среднего предпринимательства с целью восстановления предпринимательской активности, снижение которой было вызвано ограничительными противоэпидемиологическими мероприятиями и </w:t>
      </w:r>
      <w:proofErr w:type="spellStart"/>
      <w:r w:rsidRPr="00FA49CD">
        <w:rPr>
          <w:rFonts w:eastAsiaTheme="minorHAnsi"/>
          <w:color w:val="auto"/>
          <w:sz w:val="24"/>
          <w:szCs w:val="24"/>
          <w:lang w:eastAsia="en-US"/>
        </w:rPr>
        <w:t>санкционными</w:t>
      </w:r>
      <w:proofErr w:type="spellEnd"/>
      <w:r w:rsidRPr="00FA49CD">
        <w:rPr>
          <w:rFonts w:eastAsiaTheme="minorHAnsi"/>
          <w:color w:val="auto"/>
          <w:sz w:val="24"/>
          <w:szCs w:val="24"/>
          <w:lang w:eastAsia="en-US"/>
        </w:rPr>
        <w:t xml:space="preserve"> ограничениями.</w:t>
      </w:r>
    </w:p>
    <w:p w:rsidR="00FD2F9C" w:rsidRPr="006239B8" w:rsidRDefault="00FD2F9C" w:rsidP="00FD2F9C">
      <w:pPr>
        <w:tabs>
          <w:tab w:val="left" w:pos="-3686"/>
        </w:tabs>
        <w:ind w:firstLine="709"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239B8">
        <w:rPr>
          <w:rFonts w:eastAsiaTheme="minorHAnsi"/>
          <w:color w:val="auto"/>
          <w:sz w:val="24"/>
          <w:szCs w:val="24"/>
          <w:lang w:eastAsia="en-US"/>
        </w:rPr>
        <w:t>Объ</w:t>
      </w:r>
      <w:r>
        <w:rPr>
          <w:rFonts w:eastAsiaTheme="minorHAnsi"/>
          <w:color w:val="auto"/>
          <w:sz w:val="24"/>
          <w:szCs w:val="24"/>
          <w:lang w:eastAsia="en-US"/>
        </w:rPr>
        <w:t>е</w:t>
      </w:r>
      <w:r w:rsidRPr="006239B8">
        <w:rPr>
          <w:rFonts w:eastAsiaTheme="minorHAnsi"/>
          <w:color w:val="auto"/>
          <w:sz w:val="24"/>
          <w:szCs w:val="24"/>
          <w:lang w:eastAsia="en-US"/>
        </w:rPr>
        <w:t xml:space="preserve">м собственных доходов бюджета муниципального образования от налоговых и неналоговых поступлений на 1 жителя в 2027 году ожидается на уровне 43,8 тыс. рублей, что составит 115,9% к показателю 2023 года (37,8 </w:t>
      </w:r>
      <w:proofErr w:type="spellStart"/>
      <w:r w:rsidRPr="006239B8">
        <w:rPr>
          <w:rFonts w:eastAsiaTheme="minorHAnsi"/>
          <w:color w:val="auto"/>
          <w:sz w:val="24"/>
          <w:szCs w:val="24"/>
          <w:lang w:eastAsia="en-US"/>
        </w:rPr>
        <w:t>тыс</w:t>
      </w:r>
      <w:proofErr w:type="gramStart"/>
      <w:r w:rsidRPr="006239B8"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 w:rsidRPr="006239B8">
        <w:rPr>
          <w:rFonts w:eastAsiaTheme="minorHAnsi"/>
          <w:color w:val="auto"/>
          <w:sz w:val="24"/>
          <w:szCs w:val="24"/>
          <w:lang w:eastAsia="en-US"/>
        </w:rPr>
        <w:t>ублей</w:t>
      </w:r>
      <w:proofErr w:type="spellEnd"/>
      <w:r w:rsidRPr="006239B8">
        <w:rPr>
          <w:rFonts w:eastAsiaTheme="minorHAnsi"/>
          <w:color w:val="auto"/>
          <w:sz w:val="24"/>
          <w:szCs w:val="24"/>
          <w:lang w:eastAsia="en-US"/>
        </w:rPr>
        <w:t xml:space="preserve"> в 2023 году).</w:t>
      </w:r>
    </w:p>
    <w:p w:rsidR="00FD2F9C" w:rsidRPr="00AD3FD7" w:rsidRDefault="00FD2F9C" w:rsidP="00FD2F9C">
      <w:pPr>
        <w:rPr>
          <w:color w:val="FF0000"/>
        </w:rPr>
      </w:pPr>
    </w:p>
    <w:p w:rsidR="0029108B" w:rsidRPr="00FB426F" w:rsidRDefault="0029108B" w:rsidP="00FD2F9C">
      <w:pPr>
        <w:widowControl w:val="0"/>
        <w:jc w:val="center"/>
        <w:rPr>
          <w:color w:val="auto"/>
          <w:sz w:val="24"/>
          <w:szCs w:val="24"/>
        </w:rPr>
      </w:pPr>
    </w:p>
    <w:sectPr w:rsidR="0029108B" w:rsidRPr="00FB426F" w:rsidSect="007E0E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6D" w:rsidRDefault="00684E6D" w:rsidP="00BA7B9D">
      <w:r>
        <w:separator/>
      </w:r>
    </w:p>
  </w:endnote>
  <w:endnote w:type="continuationSeparator" w:id="0">
    <w:p w:rsidR="00684E6D" w:rsidRDefault="00684E6D" w:rsidP="00BA7B9D">
      <w:r>
        <w:continuationSeparator/>
      </w:r>
    </w:p>
  </w:endnote>
  <w:endnote w:id="1">
    <w:p w:rsidR="00383A88" w:rsidRPr="006D13F5" w:rsidRDefault="00383A88" w:rsidP="00383A88">
      <w:pPr>
        <w:pStyle w:val="af1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6D" w:rsidRDefault="00684E6D" w:rsidP="00BA7B9D">
      <w:r>
        <w:separator/>
      </w:r>
    </w:p>
  </w:footnote>
  <w:footnote w:type="continuationSeparator" w:id="0">
    <w:p w:rsidR="00684E6D" w:rsidRDefault="00684E6D" w:rsidP="00BA7B9D">
      <w:r>
        <w:continuationSeparator/>
      </w:r>
    </w:p>
  </w:footnote>
  <w:footnote w:id="1">
    <w:p w:rsidR="00910CB5" w:rsidRPr="0016289A" w:rsidRDefault="00910CB5" w:rsidP="00166BD5">
      <w:pPr>
        <w:pStyle w:val="af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C3208"/>
    <w:multiLevelType w:val="hybridMultilevel"/>
    <w:tmpl w:val="07E0955C"/>
    <w:lvl w:ilvl="0" w:tplc="CF3AA08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FF5746"/>
    <w:multiLevelType w:val="hybridMultilevel"/>
    <w:tmpl w:val="0FE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45239E1"/>
    <w:multiLevelType w:val="hybridMultilevel"/>
    <w:tmpl w:val="B3DC7EA8"/>
    <w:lvl w:ilvl="0" w:tplc="EFECC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803F6"/>
    <w:multiLevelType w:val="hybridMultilevel"/>
    <w:tmpl w:val="C57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4434"/>
    <w:multiLevelType w:val="hybridMultilevel"/>
    <w:tmpl w:val="FE38530A"/>
    <w:lvl w:ilvl="0" w:tplc="FD262602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C46DD"/>
    <w:multiLevelType w:val="hybridMultilevel"/>
    <w:tmpl w:val="8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A0043"/>
    <w:multiLevelType w:val="hybridMultilevel"/>
    <w:tmpl w:val="5770F46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8092E"/>
    <w:multiLevelType w:val="hybridMultilevel"/>
    <w:tmpl w:val="E7C4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E776D7"/>
    <w:multiLevelType w:val="hybridMultilevel"/>
    <w:tmpl w:val="5C0C9564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B7057"/>
    <w:multiLevelType w:val="hybridMultilevel"/>
    <w:tmpl w:val="6F22FDFA"/>
    <w:lvl w:ilvl="0" w:tplc="FB5EDA9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6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22"/>
  </w:num>
  <w:num w:numId="11">
    <w:abstractNumId w:val="27"/>
  </w:num>
  <w:num w:numId="12">
    <w:abstractNumId w:val="24"/>
  </w:num>
  <w:num w:numId="13">
    <w:abstractNumId w:val="7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4"/>
  </w:num>
  <w:num w:numId="19">
    <w:abstractNumId w:val="9"/>
  </w:num>
  <w:num w:numId="20">
    <w:abstractNumId w:val="23"/>
  </w:num>
  <w:num w:numId="21">
    <w:abstractNumId w:val="19"/>
  </w:num>
  <w:num w:numId="22">
    <w:abstractNumId w:val="25"/>
  </w:num>
  <w:num w:numId="23">
    <w:abstractNumId w:val="8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13510"/>
    <w:rsid w:val="00023017"/>
    <w:rsid w:val="00024CA7"/>
    <w:rsid w:val="00026A49"/>
    <w:rsid w:val="000278C8"/>
    <w:rsid w:val="0003671D"/>
    <w:rsid w:val="00051397"/>
    <w:rsid w:val="000550F0"/>
    <w:rsid w:val="0006210F"/>
    <w:rsid w:val="000805EA"/>
    <w:rsid w:val="00082A5B"/>
    <w:rsid w:val="00087B4A"/>
    <w:rsid w:val="00094505"/>
    <w:rsid w:val="000A1D89"/>
    <w:rsid w:val="000A6D61"/>
    <w:rsid w:val="000A7002"/>
    <w:rsid w:val="000B2A21"/>
    <w:rsid w:val="000C7A4A"/>
    <w:rsid w:val="000D0DA5"/>
    <w:rsid w:val="000D13B9"/>
    <w:rsid w:val="000D7344"/>
    <w:rsid w:val="000D7F51"/>
    <w:rsid w:val="000E1985"/>
    <w:rsid w:val="000F27B5"/>
    <w:rsid w:val="000F4BA1"/>
    <w:rsid w:val="000F61D7"/>
    <w:rsid w:val="0010222B"/>
    <w:rsid w:val="00114A43"/>
    <w:rsid w:val="00125BB9"/>
    <w:rsid w:val="001309BD"/>
    <w:rsid w:val="001349B1"/>
    <w:rsid w:val="001440BA"/>
    <w:rsid w:val="00155569"/>
    <w:rsid w:val="00156F7D"/>
    <w:rsid w:val="00157B98"/>
    <w:rsid w:val="0016298B"/>
    <w:rsid w:val="00165000"/>
    <w:rsid w:val="00175F67"/>
    <w:rsid w:val="00181FB6"/>
    <w:rsid w:val="00191E17"/>
    <w:rsid w:val="001A69C4"/>
    <w:rsid w:val="001B0F54"/>
    <w:rsid w:val="001C330B"/>
    <w:rsid w:val="001C3F74"/>
    <w:rsid w:val="001D389E"/>
    <w:rsid w:val="001D5403"/>
    <w:rsid w:val="001E1ED5"/>
    <w:rsid w:val="001E4CEF"/>
    <w:rsid w:val="001F0744"/>
    <w:rsid w:val="002027EF"/>
    <w:rsid w:val="00203062"/>
    <w:rsid w:val="0020592A"/>
    <w:rsid w:val="0020767C"/>
    <w:rsid w:val="00215923"/>
    <w:rsid w:val="00220116"/>
    <w:rsid w:val="002229A7"/>
    <w:rsid w:val="00223C1C"/>
    <w:rsid w:val="002313FA"/>
    <w:rsid w:val="00243304"/>
    <w:rsid w:val="00245C38"/>
    <w:rsid w:val="002663FE"/>
    <w:rsid w:val="0027428F"/>
    <w:rsid w:val="0028548C"/>
    <w:rsid w:val="0029108B"/>
    <w:rsid w:val="0029547D"/>
    <w:rsid w:val="0029614E"/>
    <w:rsid w:val="002A5529"/>
    <w:rsid w:val="002A77F9"/>
    <w:rsid w:val="002A7F82"/>
    <w:rsid w:val="002B38B2"/>
    <w:rsid w:val="002D516B"/>
    <w:rsid w:val="002D533A"/>
    <w:rsid w:val="002D5552"/>
    <w:rsid w:val="002E5FC1"/>
    <w:rsid w:val="002F08E4"/>
    <w:rsid w:val="002F5C59"/>
    <w:rsid w:val="00307ECC"/>
    <w:rsid w:val="003114BA"/>
    <w:rsid w:val="00315828"/>
    <w:rsid w:val="00321510"/>
    <w:rsid w:val="0032411F"/>
    <w:rsid w:val="00324234"/>
    <w:rsid w:val="003304B6"/>
    <w:rsid w:val="00345459"/>
    <w:rsid w:val="0034797A"/>
    <w:rsid w:val="00353AB7"/>
    <w:rsid w:val="0035656C"/>
    <w:rsid w:val="00357FE1"/>
    <w:rsid w:val="00360A5F"/>
    <w:rsid w:val="0036441D"/>
    <w:rsid w:val="0037200F"/>
    <w:rsid w:val="003754C4"/>
    <w:rsid w:val="00383A88"/>
    <w:rsid w:val="003878A2"/>
    <w:rsid w:val="00394F12"/>
    <w:rsid w:val="00395F68"/>
    <w:rsid w:val="003974E4"/>
    <w:rsid w:val="003A41F5"/>
    <w:rsid w:val="003B1096"/>
    <w:rsid w:val="003B1E17"/>
    <w:rsid w:val="003B5934"/>
    <w:rsid w:val="003B68DE"/>
    <w:rsid w:val="003C4C2E"/>
    <w:rsid w:val="003C6080"/>
    <w:rsid w:val="003D07DB"/>
    <w:rsid w:val="003D4A10"/>
    <w:rsid w:val="003D568F"/>
    <w:rsid w:val="003E2F1A"/>
    <w:rsid w:val="003E4D3F"/>
    <w:rsid w:val="003E529E"/>
    <w:rsid w:val="003E6EF0"/>
    <w:rsid w:val="00404669"/>
    <w:rsid w:val="00423EBE"/>
    <w:rsid w:val="0042794A"/>
    <w:rsid w:val="00436D91"/>
    <w:rsid w:val="0044023C"/>
    <w:rsid w:val="004531AA"/>
    <w:rsid w:val="0045464F"/>
    <w:rsid w:val="004555B8"/>
    <w:rsid w:val="00463E5F"/>
    <w:rsid w:val="00473A44"/>
    <w:rsid w:val="00476A7D"/>
    <w:rsid w:val="00487337"/>
    <w:rsid w:val="004920FA"/>
    <w:rsid w:val="00495452"/>
    <w:rsid w:val="004A51F8"/>
    <w:rsid w:val="004B6CA9"/>
    <w:rsid w:val="004C7FBF"/>
    <w:rsid w:val="004D3283"/>
    <w:rsid w:val="004D4163"/>
    <w:rsid w:val="004D7A23"/>
    <w:rsid w:val="004E1058"/>
    <w:rsid w:val="004E69E0"/>
    <w:rsid w:val="004F1346"/>
    <w:rsid w:val="004F4523"/>
    <w:rsid w:val="00500FF6"/>
    <w:rsid w:val="0050353D"/>
    <w:rsid w:val="0050623B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0736"/>
    <w:rsid w:val="00557417"/>
    <w:rsid w:val="00560D63"/>
    <w:rsid w:val="00567974"/>
    <w:rsid w:val="00577B63"/>
    <w:rsid w:val="00581769"/>
    <w:rsid w:val="005860F8"/>
    <w:rsid w:val="005867B6"/>
    <w:rsid w:val="00593438"/>
    <w:rsid w:val="005A0E02"/>
    <w:rsid w:val="005A3650"/>
    <w:rsid w:val="005B0E8F"/>
    <w:rsid w:val="005B2773"/>
    <w:rsid w:val="005B57CE"/>
    <w:rsid w:val="005E2D76"/>
    <w:rsid w:val="005F3914"/>
    <w:rsid w:val="00601720"/>
    <w:rsid w:val="00605491"/>
    <w:rsid w:val="00606B99"/>
    <w:rsid w:val="00617C9A"/>
    <w:rsid w:val="006211FB"/>
    <w:rsid w:val="00621261"/>
    <w:rsid w:val="00632926"/>
    <w:rsid w:val="0063598F"/>
    <w:rsid w:val="00635E6F"/>
    <w:rsid w:val="00643E88"/>
    <w:rsid w:val="006442FC"/>
    <w:rsid w:val="00646D16"/>
    <w:rsid w:val="006753CB"/>
    <w:rsid w:val="006808AC"/>
    <w:rsid w:val="00684E6D"/>
    <w:rsid w:val="00687310"/>
    <w:rsid w:val="00691250"/>
    <w:rsid w:val="00691AE7"/>
    <w:rsid w:val="00693768"/>
    <w:rsid w:val="006A0C42"/>
    <w:rsid w:val="006B714C"/>
    <w:rsid w:val="006C0C2F"/>
    <w:rsid w:val="006C32C7"/>
    <w:rsid w:val="006C7350"/>
    <w:rsid w:val="006D2DF0"/>
    <w:rsid w:val="006D33A6"/>
    <w:rsid w:val="006D6228"/>
    <w:rsid w:val="006D67E6"/>
    <w:rsid w:val="006D7E83"/>
    <w:rsid w:val="006E7A6D"/>
    <w:rsid w:val="006F2E48"/>
    <w:rsid w:val="00703AC3"/>
    <w:rsid w:val="007049FB"/>
    <w:rsid w:val="00711AA1"/>
    <w:rsid w:val="00711FCE"/>
    <w:rsid w:val="00715452"/>
    <w:rsid w:val="007370EE"/>
    <w:rsid w:val="0074781D"/>
    <w:rsid w:val="0074792C"/>
    <w:rsid w:val="00754032"/>
    <w:rsid w:val="00762CBB"/>
    <w:rsid w:val="00764E2F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07EA"/>
    <w:rsid w:val="007A2402"/>
    <w:rsid w:val="007B06C4"/>
    <w:rsid w:val="007B26CF"/>
    <w:rsid w:val="007B4B1D"/>
    <w:rsid w:val="007B5D1F"/>
    <w:rsid w:val="007B78B4"/>
    <w:rsid w:val="007D6B08"/>
    <w:rsid w:val="007E0E0B"/>
    <w:rsid w:val="007F13E0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31C82"/>
    <w:rsid w:val="00834184"/>
    <w:rsid w:val="0084557E"/>
    <w:rsid w:val="0085287A"/>
    <w:rsid w:val="0085621F"/>
    <w:rsid w:val="00864E93"/>
    <w:rsid w:val="00876984"/>
    <w:rsid w:val="00886285"/>
    <w:rsid w:val="00887F30"/>
    <w:rsid w:val="00895722"/>
    <w:rsid w:val="00896E16"/>
    <w:rsid w:val="008A3CEE"/>
    <w:rsid w:val="008B7C6C"/>
    <w:rsid w:val="008C17A0"/>
    <w:rsid w:val="008C1D8D"/>
    <w:rsid w:val="008C23D9"/>
    <w:rsid w:val="008C4EAD"/>
    <w:rsid w:val="008C6461"/>
    <w:rsid w:val="008D214E"/>
    <w:rsid w:val="008D4D8A"/>
    <w:rsid w:val="008D5D20"/>
    <w:rsid w:val="008D5DB7"/>
    <w:rsid w:val="008D7545"/>
    <w:rsid w:val="008E417D"/>
    <w:rsid w:val="008E4922"/>
    <w:rsid w:val="008F6038"/>
    <w:rsid w:val="00903C9D"/>
    <w:rsid w:val="009100D7"/>
    <w:rsid w:val="00910CB5"/>
    <w:rsid w:val="00915DA9"/>
    <w:rsid w:val="0092573E"/>
    <w:rsid w:val="009258F2"/>
    <w:rsid w:val="00926F21"/>
    <w:rsid w:val="00927C17"/>
    <w:rsid w:val="00930275"/>
    <w:rsid w:val="009309FC"/>
    <w:rsid w:val="00931CA3"/>
    <w:rsid w:val="00940C7B"/>
    <w:rsid w:val="00942338"/>
    <w:rsid w:val="009510BB"/>
    <w:rsid w:val="00990533"/>
    <w:rsid w:val="009A05C9"/>
    <w:rsid w:val="009A1D8A"/>
    <w:rsid w:val="009A7118"/>
    <w:rsid w:val="009A7E58"/>
    <w:rsid w:val="009C2E56"/>
    <w:rsid w:val="009C7972"/>
    <w:rsid w:val="009D37CD"/>
    <w:rsid w:val="009D5F49"/>
    <w:rsid w:val="009E77EE"/>
    <w:rsid w:val="009F26DE"/>
    <w:rsid w:val="009F505F"/>
    <w:rsid w:val="009F6B4A"/>
    <w:rsid w:val="009F710E"/>
    <w:rsid w:val="00A01B38"/>
    <w:rsid w:val="00A04648"/>
    <w:rsid w:val="00A05A49"/>
    <w:rsid w:val="00A1051B"/>
    <w:rsid w:val="00A1650C"/>
    <w:rsid w:val="00A2054F"/>
    <w:rsid w:val="00A20E0E"/>
    <w:rsid w:val="00A212F4"/>
    <w:rsid w:val="00A214B8"/>
    <w:rsid w:val="00A23B0B"/>
    <w:rsid w:val="00A23CC2"/>
    <w:rsid w:val="00A261C1"/>
    <w:rsid w:val="00A34FD1"/>
    <w:rsid w:val="00A40881"/>
    <w:rsid w:val="00A417BA"/>
    <w:rsid w:val="00A41D58"/>
    <w:rsid w:val="00A515D6"/>
    <w:rsid w:val="00A52319"/>
    <w:rsid w:val="00A6190D"/>
    <w:rsid w:val="00A6276D"/>
    <w:rsid w:val="00A661DB"/>
    <w:rsid w:val="00A7075D"/>
    <w:rsid w:val="00A85189"/>
    <w:rsid w:val="00A942F9"/>
    <w:rsid w:val="00AA3B3C"/>
    <w:rsid w:val="00AA3C30"/>
    <w:rsid w:val="00AB1951"/>
    <w:rsid w:val="00AB24A1"/>
    <w:rsid w:val="00AB68E9"/>
    <w:rsid w:val="00AC2BE6"/>
    <w:rsid w:val="00AC3C61"/>
    <w:rsid w:val="00AC70C2"/>
    <w:rsid w:val="00AD106C"/>
    <w:rsid w:val="00AD3CDD"/>
    <w:rsid w:val="00AE037A"/>
    <w:rsid w:val="00AE1103"/>
    <w:rsid w:val="00AE2E08"/>
    <w:rsid w:val="00AE3CF0"/>
    <w:rsid w:val="00AF0C79"/>
    <w:rsid w:val="00AF4A51"/>
    <w:rsid w:val="00B0686D"/>
    <w:rsid w:val="00B11638"/>
    <w:rsid w:val="00B14BD6"/>
    <w:rsid w:val="00B30D91"/>
    <w:rsid w:val="00B323F5"/>
    <w:rsid w:val="00B36C23"/>
    <w:rsid w:val="00B36F17"/>
    <w:rsid w:val="00B41170"/>
    <w:rsid w:val="00B45603"/>
    <w:rsid w:val="00B46D23"/>
    <w:rsid w:val="00B470F3"/>
    <w:rsid w:val="00B51046"/>
    <w:rsid w:val="00B51C88"/>
    <w:rsid w:val="00B52A60"/>
    <w:rsid w:val="00B551F6"/>
    <w:rsid w:val="00B60009"/>
    <w:rsid w:val="00B63541"/>
    <w:rsid w:val="00B7403A"/>
    <w:rsid w:val="00B90E3B"/>
    <w:rsid w:val="00B916E5"/>
    <w:rsid w:val="00B9246D"/>
    <w:rsid w:val="00B93EA5"/>
    <w:rsid w:val="00B94E92"/>
    <w:rsid w:val="00B97C94"/>
    <w:rsid w:val="00BA032A"/>
    <w:rsid w:val="00BA570B"/>
    <w:rsid w:val="00BA7B9D"/>
    <w:rsid w:val="00BB092E"/>
    <w:rsid w:val="00BB3077"/>
    <w:rsid w:val="00BB52A4"/>
    <w:rsid w:val="00BB6073"/>
    <w:rsid w:val="00BB7942"/>
    <w:rsid w:val="00BC01F0"/>
    <w:rsid w:val="00BC0BB6"/>
    <w:rsid w:val="00BC100D"/>
    <w:rsid w:val="00BC1E3E"/>
    <w:rsid w:val="00BC6CF7"/>
    <w:rsid w:val="00BC78D2"/>
    <w:rsid w:val="00BC7B26"/>
    <w:rsid w:val="00BD20F9"/>
    <w:rsid w:val="00BE1BD8"/>
    <w:rsid w:val="00BE21FB"/>
    <w:rsid w:val="00BF26FE"/>
    <w:rsid w:val="00C0297C"/>
    <w:rsid w:val="00C10CE3"/>
    <w:rsid w:val="00C1382B"/>
    <w:rsid w:val="00C162FA"/>
    <w:rsid w:val="00C25780"/>
    <w:rsid w:val="00C27418"/>
    <w:rsid w:val="00C32EAA"/>
    <w:rsid w:val="00C34E07"/>
    <w:rsid w:val="00C3687C"/>
    <w:rsid w:val="00C41591"/>
    <w:rsid w:val="00C41FB7"/>
    <w:rsid w:val="00C43300"/>
    <w:rsid w:val="00C44934"/>
    <w:rsid w:val="00C46E6F"/>
    <w:rsid w:val="00C46FF9"/>
    <w:rsid w:val="00C566DE"/>
    <w:rsid w:val="00C56D16"/>
    <w:rsid w:val="00C60A0F"/>
    <w:rsid w:val="00C6706C"/>
    <w:rsid w:val="00C95200"/>
    <w:rsid w:val="00C96E90"/>
    <w:rsid w:val="00C97EE3"/>
    <w:rsid w:val="00CA23B1"/>
    <w:rsid w:val="00CC6A9D"/>
    <w:rsid w:val="00CD65EE"/>
    <w:rsid w:val="00D03EFB"/>
    <w:rsid w:val="00D05E70"/>
    <w:rsid w:val="00D05EB1"/>
    <w:rsid w:val="00D173B9"/>
    <w:rsid w:val="00D21DFE"/>
    <w:rsid w:val="00D25213"/>
    <w:rsid w:val="00D25E8B"/>
    <w:rsid w:val="00D30B95"/>
    <w:rsid w:val="00D31616"/>
    <w:rsid w:val="00D407A7"/>
    <w:rsid w:val="00D41A37"/>
    <w:rsid w:val="00D4214D"/>
    <w:rsid w:val="00D43486"/>
    <w:rsid w:val="00D4460D"/>
    <w:rsid w:val="00D74735"/>
    <w:rsid w:val="00D773F8"/>
    <w:rsid w:val="00D81FCB"/>
    <w:rsid w:val="00D9363B"/>
    <w:rsid w:val="00DA063B"/>
    <w:rsid w:val="00DB3537"/>
    <w:rsid w:val="00DB3549"/>
    <w:rsid w:val="00DB3AA4"/>
    <w:rsid w:val="00DC357E"/>
    <w:rsid w:val="00DC77A3"/>
    <w:rsid w:val="00DD1CA0"/>
    <w:rsid w:val="00DD21A7"/>
    <w:rsid w:val="00DD4989"/>
    <w:rsid w:val="00DD6243"/>
    <w:rsid w:val="00DD78E2"/>
    <w:rsid w:val="00DE1989"/>
    <w:rsid w:val="00DE6054"/>
    <w:rsid w:val="00DF41FE"/>
    <w:rsid w:val="00DF456D"/>
    <w:rsid w:val="00DF50D7"/>
    <w:rsid w:val="00DF6646"/>
    <w:rsid w:val="00E06550"/>
    <w:rsid w:val="00E10CFD"/>
    <w:rsid w:val="00E1391A"/>
    <w:rsid w:val="00E16503"/>
    <w:rsid w:val="00E165A2"/>
    <w:rsid w:val="00E23582"/>
    <w:rsid w:val="00E31C0F"/>
    <w:rsid w:val="00E34FA6"/>
    <w:rsid w:val="00E35268"/>
    <w:rsid w:val="00E42239"/>
    <w:rsid w:val="00E42596"/>
    <w:rsid w:val="00E44E4A"/>
    <w:rsid w:val="00E45234"/>
    <w:rsid w:val="00E46B86"/>
    <w:rsid w:val="00E4765D"/>
    <w:rsid w:val="00E50B80"/>
    <w:rsid w:val="00E578DB"/>
    <w:rsid w:val="00E658CA"/>
    <w:rsid w:val="00E72FC3"/>
    <w:rsid w:val="00E76419"/>
    <w:rsid w:val="00E77BFF"/>
    <w:rsid w:val="00E8722D"/>
    <w:rsid w:val="00E93434"/>
    <w:rsid w:val="00E93C03"/>
    <w:rsid w:val="00EB2528"/>
    <w:rsid w:val="00EB7CF2"/>
    <w:rsid w:val="00EC56FB"/>
    <w:rsid w:val="00EC5E94"/>
    <w:rsid w:val="00EC79ED"/>
    <w:rsid w:val="00ED08A7"/>
    <w:rsid w:val="00ED6AD5"/>
    <w:rsid w:val="00EE5FFE"/>
    <w:rsid w:val="00EF1C6C"/>
    <w:rsid w:val="00EF20A0"/>
    <w:rsid w:val="00EF4E98"/>
    <w:rsid w:val="00EF59A9"/>
    <w:rsid w:val="00F129B6"/>
    <w:rsid w:val="00F15889"/>
    <w:rsid w:val="00F24E2C"/>
    <w:rsid w:val="00F30FC5"/>
    <w:rsid w:val="00F458B5"/>
    <w:rsid w:val="00F47FBE"/>
    <w:rsid w:val="00F503C5"/>
    <w:rsid w:val="00F5694A"/>
    <w:rsid w:val="00F63FF6"/>
    <w:rsid w:val="00F659F7"/>
    <w:rsid w:val="00F70207"/>
    <w:rsid w:val="00F70436"/>
    <w:rsid w:val="00F77202"/>
    <w:rsid w:val="00F81D45"/>
    <w:rsid w:val="00F82889"/>
    <w:rsid w:val="00F9559F"/>
    <w:rsid w:val="00FA7124"/>
    <w:rsid w:val="00FB426F"/>
    <w:rsid w:val="00FB6CFC"/>
    <w:rsid w:val="00FC0258"/>
    <w:rsid w:val="00FC0492"/>
    <w:rsid w:val="00FC0DA0"/>
    <w:rsid w:val="00FC3D11"/>
    <w:rsid w:val="00FD2A12"/>
    <w:rsid w:val="00FD2F9C"/>
    <w:rsid w:val="00FD4146"/>
    <w:rsid w:val="00FD4DB7"/>
    <w:rsid w:val="00FD5B66"/>
    <w:rsid w:val="00FD77C6"/>
    <w:rsid w:val="00FE13B4"/>
    <w:rsid w:val="00FF3F6C"/>
    <w:rsid w:val="00FF46A8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uiPriority w:val="9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  <w:style w:type="paragraph" w:styleId="af6">
    <w:name w:val="footnote text"/>
    <w:basedOn w:val="a"/>
    <w:link w:val="af7"/>
    <w:uiPriority w:val="99"/>
    <w:unhideWhenUsed/>
    <w:rsid w:val="00C1382B"/>
    <w:rPr>
      <w:color w:val="auto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rsid w:val="00C1382B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8">
    <w:name w:val="footnote reference"/>
    <w:uiPriority w:val="99"/>
    <w:unhideWhenUsed/>
    <w:rsid w:val="00AE3CF0"/>
    <w:rPr>
      <w:vertAlign w:val="superscript"/>
    </w:rPr>
  </w:style>
  <w:style w:type="paragraph" w:styleId="af9">
    <w:name w:val="Normal (Web)"/>
    <w:basedOn w:val="a"/>
    <w:uiPriority w:val="99"/>
    <w:semiHidden/>
    <w:unhideWhenUsed/>
    <w:rsid w:val="00FD2F9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uiPriority w:val="9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  <w:style w:type="paragraph" w:styleId="af6">
    <w:name w:val="footnote text"/>
    <w:basedOn w:val="a"/>
    <w:link w:val="af7"/>
    <w:uiPriority w:val="99"/>
    <w:unhideWhenUsed/>
    <w:rsid w:val="00C1382B"/>
    <w:rPr>
      <w:color w:val="auto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rsid w:val="00C1382B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8">
    <w:name w:val="footnote reference"/>
    <w:uiPriority w:val="99"/>
    <w:unhideWhenUsed/>
    <w:rsid w:val="00AE3CF0"/>
    <w:rPr>
      <w:vertAlign w:val="superscript"/>
    </w:rPr>
  </w:style>
  <w:style w:type="paragraph" w:styleId="af9">
    <w:name w:val="Normal (Web)"/>
    <w:basedOn w:val="a"/>
    <w:uiPriority w:val="99"/>
    <w:semiHidden/>
    <w:unhideWhenUsed/>
    <w:rsid w:val="00FD2F9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FD68-6300-4278-98F8-C953319C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36</Pages>
  <Words>13518</Words>
  <Characters>77056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5</cp:revision>
  <cp:lastPrinted>2023-10-19T08:47:00Z</cp:lastPrinted>
  <dcterms:created xsi:type="dcterms:W3CDTF">2023-10-27T11:22:00Z</dcterms:created>
  <dcterms:modified xsi:type="dcterms:W3CDTF">2024-10-21T07:23:00Z</dcterms:modified>
</cp:coreProperties>
</file>